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65078"/>
    <w:p w14:paraId="6B116B30">
      <w:pPr>
        <w:spacing w:line="540" w:lineRule="exact"/>
        <w:jc w:val="center"/>
        <w:rPr>
          <w:rFonts w:eastAsia="华文中宋"/>
          <w:b/>
          <w:kern w:val="0"/>
          <w:sz w:val="52"/>
          <w:szCs w:val="52"/>
        </w:rPr>
      </w:pPr>
    </w:p>
    <w:p w14:paraId="051B960D">
      <w:pPr>
        <w:spacing w:line="540" w:lineRule="exact"/>
        <w:rPr>
          <w:rFonts w:eastAsia="华文中宋"/>
          <w:b/>
          <w:kern w:val="0"/>
          <w:sz w:val="52"/>
          <w:szCs w:val="52"/>
        </w:rPr>
      </w:pPr>
    </w:p>
    <w:p w14:paraId="20434C2E">
      <w:pPr>
        <w:spacing w:line="540" w:lineRule="exact"/>
        <w:jc w:val="center"/>
        <w:rPr>
          <w:rFonts w:eastAsia="华文中宋"/>
          <w:b/>
          <w:kern w:val="0"/>
          <w:sz w:val="52"/>
          <w:szCs w:val="52"/>
        </w:rPr>
      </w:pPr>
    </w:p>
    <w:p w14:paraId="35BE8D2E">
      <w:pPr>
        <w:spacing w:line="540" w:lineRule="exact"/>
        <w:jc w:val="center"/>
        <w:rPr>
          <w:rFonts w:eastAsia="华文中宋"/>
          <w:b/>
          <w:kern w:val="0"/>
          <w:sz w:val="52"/>
          <w:szCs w:val="52"/>
        </w:rPr>
      </w:pPr>
    </w:p>
    <w:p w14:paraId="40ACBD55">
      <w:pPr>
        <w:spacing w:line="540" w:lineRule="exact"/>
        <w:jc w:val="center"/>
        <w:rPr>
          <w:rFonts w:eastAsia="方正小标宋_GBK"/>
          <w:kern w:val="0"/>
          <w:sz w:val="48"/>
          <w:szCs w:val="48"/>
        </w:rPr>
      </w:pPr>
      <w:r>
        <w:rPr>
          <w:rFonts w:hint="eastAsia" w:eastAsia="方正小标宋_GBK"/>
          <w:kern w:val="0"/>
          <w:sz w:val="48"/>
          <w:szCs w:val="48"/>
        </w:rPr>
        <w:t>2024年教育附加安排的支出（取暖费）</w:t>
      </w:r>
      <w:r>
        <w:rPr>
          <w:rFonts w:eastAsia="方正小标宋_GBK"/>
          <w:kern w:val="0"/>
          <w:sz w:val="48"/>
          <w:szCs w:val="48"/>
        </w:rPr>
        <w:t>项目支出绩效评价</w:t>
      </w:r>
    </w:p>
    <w:p w14:paraId="04D74304">
      <w:pPr>
        <w:spacing w:line="540" w:lineRule="exact"/>
        <w:jc w:val="center"/>
        <w:rPr>
          <w:rFonts w:eastAsia="方正小标宋_GBK"/>
          <w:kern w:val="0"/>
          <w:sz w:val="48"/>
          <w:szCs w:val="48"/>
        </w:rPr>
      </w:pPr>
      <w:r>
        <w:rPr>
          <w:rFonts w:eastAsia="方正小标宋_GBK"/>
          <w:kern w:val="0"/>
          <w:sz w:val="48"/>
          <w:szCs w:val="48"/>
        </w:rPr>
        <w:t>报告</w:t>
      </w:r>
    </w:p>
    <w:p w14:paraId="1CEA9289">
      <w:pPr>
        <w:spacing w:line="540" w:lineRule="exact"/>
        <w:jc w:val="center"/>
        <w:rPr>
          <w:rFonts w:eastAsia="华文中宋"/>
          <w:b/>
          <w:kern w:val="0"/>
          <w:sz w:val="52"/>
          <w:szCs w:val="52"/>
        </w:rPr>
      </w:pPr>
    </w:p>
    <w:p w14:paraId="2F430C2A">
      <w:pPr>
        <w:spacing w:line="540" w:lineRule="exact"/>
        <w:jc w:val="center"/>
        <w:rPr>
          <w:rFonts w:eastAsia="仿宋_GB2312"/>
          <w:kern w:val="0"/>
          <w:sz w:val="36"/>
          <w:szCs w:val="36"/>
        </w:rPr>
      </w:pPr>
      <w:r>
        <w:rPr>
          <w:rFonts w:eastAsia="仿宋_GB2312"/>
          <w:kern w:val="0"/>
          <w:sz w:val="36"/>
          <w:szCs w:val="36"/>
        </w:rPr>
        <w:t>（2024年度）</w:t>
      </w:r>
    </w:p>
    <w:p w14:paraId="0BC814D5">
      <w:pPr>
        <w:spacing w:line="540" w:lineRule="exact"/>
        <w:jc w:val="center"/>
        <w:rPr>
          <w:rFonts w:eastAsia="仿宋_GB2312"/>
          <w:kern w:val="0"/>
          <w:sz w:val="30"/>
          <w:szCs w:val="30"/>
        </w:rPr>
      </w:pPr>
    </w:p>
    <w:p w14:paraId="755E8CCA">
      <w:pPr>
        <w:spacing w:line="540" w:lineRule="exact"/>
        <w:jc w:val="center"/>
        <w:rPr>
          <w:rFonts w:eastAsia="仿宋_GB2312"/>
          <w:kern w:val="0"/>
          <w:sz w:val="30"/>
          <w:szCs w:val="30"/>
        </w:rPr>
      </w:pPr>
    </w:p>
    <w:p w14:paraId="5252311B">
      <w:pPr>
        <w:spacing w:line="540" w:lineRule="exact"/>
        <w:jc w:val="center"/>
        <w:rPr>
          <w:rFonts w:eastAsia="仿宋_GB2312"/>
          <w:kern w:val="0"/>
          <w:sz w:val="30"/>
          <w:szCs w:val="30"/>
        </w:rPr>
      </w:pPr>
    </w:p>
    <w:p w14:paraId="2238C022">
      <w:pPr>
        <w:pStyle w:val="9"/>
        <w:rPr>
          <w:rFonts w:ascii="Times New Roman" w:hAnsi="Times New Roman"/>
        </w:rPr>
      </w:pPr>
    </w:p>
    <w:p w14:paraId="35B21B9A">
      <w:pPr>
        <w:spacing w:line="540" w:lineRule="exact"/>
        <w:jc w:val="center"/>
        <w:rPr>
          <w:rFonts w:eastAsia="仿宋_GB2312"/>
          <w:kern w:val="0"/>
          <w:sz w:val="30"/>
          <w:szCs w:val="30"/>
        </w:rPr>
      </w:pPr>
    </w:p>
    <w:p w14:paraId="57331925">
      <w:pPr>
        <w:spacing w:line="540" w:lineRule="exact"/>
        <w:rPr>
          <w:rFonts w:eastAsia="仿宋_GB2312"/>
          <w:kern w:val="0"/>
          <w:sz w:val="30"/>
          <w:szCs w:val="30"/>
        </w:rPr>
      </w:pPr>
      <w:r>
        <w:rPr>
          <w:rFonts w:eastAsia="仿宋_GB2312"/>
          <w:kern w:val="0"/>
          <w:sz w:val="30"/>
          <w:szCs w:val="30"/>
        </w:rPr>
        <w:drawing>
          <wp:anchor distT="0" distB="0" distL="114300" distR="114300" simplePos="0" relativeHeight="251659264" behindDoc="1" locked="0" layoutInCell="1" allowOverlap="1">
            <wp:simplePos x="0" y="0"/>
            <wp:positionH relativeFrom="column">
              <wp:posOffset>3000375</wp:posOffset>
            </wp:positionH>
            <wp:positionV relativeFrom="paragraph">
              <wp:posOffset>60960</wp:posOffset>
            </wp:positionV>
            <wp:extent cx="1247775" cy="1238250"/>
            <wp:effectExtent l="0" t="0" r="9525" b="0"/>
            <wp:wrapNone/>
            <wp:docPr id="1" name="图片 1" descr="I:\2024年内控\gong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2024年内控\gongz.png"/>
                    <pic:cNvPicPr>
                      <a:picLocks noChangeAspect="1" noChangeArrowheads="1"/>
                    </pic:cNvPicPr>
                  </pic:nvPicPr>
                  <pic:blipFill>
                    <a:blip r:embed="rId5" cstate="print"/>
                    <a:stretch>
                      <a:fillRect/>
                    </a:stretch>
                  </pic:blipFill>
                  <pic:spPr>
                    <a:xfrm rot="10800000" flipV="1">
                      <a:off x="0" y="0"/>
                      <a:ext cx="1247775" cy="1238250"/>
                    </a:xfrm>
                    <a:prstGeom prst="rect">
                      <a:avLst/>
                    </a:prstGeom>
                    <a:noFill/>
                    <a:ln w="9525">
                      <a:noFill/>
                      <a:miter lim="800000"/>
                      <a:headEnd/>
                      <a:tailEnd/>
                    </a:ln>
                  </pic:spPr>
                </pic:pic>
              </a:graphicData>
            </a:graphic>
          </wp:anchor>
        </w:drawing>
      </w:r>
    </w:p>
    <w:p w14:paraId="62499A58">
      <w:pPr>
        <w:spacing w:line="700" w:lineRule="exact"/>
        <w:ind w:firstLine="1440" w:firstLineChars="400"/>
        <w:jc w:val="left"/>
        <w:rPr>
          <w:rFonts w:eastAsia="仿宋_GB2312"/>
          <w:color w:val="000000" w:themeColor="text1"/>
          <w:kern w:val="0"/>
          <w:sz w:val="36"/>
          <w:szCs w:val="36"/>
          <w14:textFill>
            <w14:solidFill>
              <w14:schemeClr w14:val="tx1"/>
            </w14:solidFill>
          </w14:textFill>
        </w:rPr>
      </w:pPr>
      <w:r>
        <w:rPr>
          <w:rFonts w:eastAsia="仿宋_GB2312"/>
          <w:color w:val="000000" w:themeColor="text1"/>
          <w:kern w:val="0"/>
          <w:sz w:val="36"/>
          <w:szCs w:val="36"/>
          <w14:textFill>
            <w14:solidFill>
              <w14:schemeClr w14:val="tx1"/>
            </w14:solidFill>
          </w14:textFill>
        </w:rPr>
        <w:t>项目名称：</w:t>
      </w:r>
      <w:r>
        <w:rPr>
          <w:rFonts w:hint="eastAsia" w:eastAsia="仿宋_GB2312"/>
          <w:color w:val="000000" w:themeColor="text1"/>
          <w:kern w:val="0"/>
          <w:sz w:val="36"/>
          <w:szCs w:val="36"/>
          <w14:textFill>
            <w14:solidFill>
              <w14:schemeClr w14:val="tx1"/>
            </w14:solidFill>
          </w14:textFill>
        </w:rPr>
        <w:t>2024年教育附加安排的支出（取暖费）</w:t>
      </w:r>
      <w:r>
        <w:rPr>
          <w:rFonts w:eastAsia="仿宋_GB2312"/>
          <w:color w:val="000000" w:themeColor="text1"/>
          <w:kern w:val="0"/>
          <w:sz w:val="36"/>
          <w:szCs w:val="36"/>
          <w14:textFill>
            <w14:solidFill>
              <w14:schemeClr w14:val="tx1"/>
            </w14:solidFill>
          </w14:textFill>
        </w:rPr>
        <w:t>项</w:t>
      </w:r>
      <w:r>
        <w:rPr>
          <w:rFonts w:hint="eastAsia" w:eastAsia="仿宋_GB2312"/>
          <w:color w:val="000000" w:themeColor="text1"/>
          <w:kern w:val="0"/>
          <w:sz w:val="36"/>
          <w:szCs w:val="36"/>
          <w14:textFill>
            <w14:solidFill>
              <w14:schemeClr w14:val="tx1"/>
            </w14:solidFill>
          </w14:textFill>
        </w:rPr>
        <w:t>目</w:t>
      </w:r>
    </w:p>
    <w:p w14:paraId="6A0DB666">
      <w:pPr>
        <w:spacing w:line="700" w:lineRule="exact"/>
        <w:ind w:firstLine="1440" w:firstLineChars="400"/>
        <w:jc w:val="left"/>
        <w:rPr>
          <w:rFonts w:eastAsia="仿宋_GB2312"/>
          <w:color w:val="000000" w:themeColor="text1"/>
          <w:kern w:val="0"/>
          <w:sz w:val="36"/>
          <w:szCs w:val="36"/>
          <w14:textFill>
            <w14:solidFill>
              <w14:schemeClr w14:val="tx1"/>
            </w14:solidFill>
          </w14:textFill>
        </w:rPr>
      </w:pPr>
      <w:r>
        <w:rPr>
          <w:rFonts w:eastAsia="仿宋_GB2312"/>
          <w:color w:val="000000" w:themeColor="text1"/>
          <w:kern w:val="0"/>
          <w:sz w:val="36"/>
          <w:szCs w:val="36"/>
          <w14:textFill>
            <w14:solidFill>
              <w14:schemeClr w14:val="tx1"/>
            </w14:solidFill>
          </w14:textFill>
        </w:rPr>
        <w:t>实施单位（公章）：</w:t>
      </w:r>
      <w:r>
        <w:rPr>
          <w:rFonts w:hint="eastAsia" w:eastAsia="仿宋_GB2312"/>
          <w:color w:val="000000" w:themeColor="text1"/>
          <w:kern w:val="0"/>
          <w:sz w:val="36"/>
          <w:szCs w:val="36"/>
          <w14:textFill>
            <w14:solidFill>
              <w14:schemeClr w14:val="tx1"/>
            </w14:solidFill>
          </w14:textFill>
        </w:rPr>
        <w:t>裕民县第一中学</w:t>
      </w:r>
    </w:p>
    <w:p w14:paraId="6C5F3A12">
      <w:pPr>
        <w:spacing w:line="700" w:lineRule="exact"/>
        <w:ind w:firstLine="1440" w:firstLineChars="400"/>
        <w:jc w:val="left"/>
        <w:rPr>
          <w:rFonts w:eastAsia="仿宋_GB2312"/>
          <w:color w:val="000000" w:themeColor="text1"/>
          <w:kern w:val="0"/>
          <w:sz w:val="36"/>
          <w:szCs w:val="36"/>
          <w14:textFill>
            <w14:solidFill>
              <w14:schemeClr w14:val="tx1"/>
            </w14:solidFill>
          </w14:textFill>
        </w:rPr>
      </w:pPr>
      <w:r>
        <w:rPr>
          <w:rFonts w:eastAsia="仿宋_GB2312"/>
          <w:color w:val="000000" w:themeColor="text1"/>
          <w:kern w:val="0"/>
          <w:sz w:val="36"/>
          <w:szCs w:val="36"/>
          <w14:textFill>
            <w14:solidFill>
              <w14:schemeClr w14:val="tx1"/>
            </w14:solidFill>
          </w14:textFill>
        </w:rPr>
        <w:t>主管部门（公章）：</w:t>
      </w:r>
      <w:r>
        <w:rPr>
          <w:rFonts w:hint="eastAsia" w:eastAsia="仿宋_GB2312"/>
          <w:color w:val="000000" w:themeColor="text1"/>
          <w:kern w:val="0"/>
          <w:sz w:val="36"/>
          <w:szCs w:val="36"/>
          <w14:textFill>
            <w14:solidFill>
              <w14:schemeClr w14:val="tx1"/>
            </w14:solidFill>
          </w14:textFill>
        </w:rPr>
        <w:t>裕民县教育和体育局</w:t>
      </w:r>
    </w:p>
    <w:p w14:paraId="62219270">
      <w:pPr>
        <w:spacing w:line="700" w:lineRule="exact"/>
        <w:ind w:firstLine="1440" w:firstLineChars="400"/>
        <w:jc w:val="left"/>
        <w:rPr>
          <w:rFonts w:eastAsia="仿宋_GB2312"/>
          <w:color w:val="000000" w:themeColor="text1"/>
          <w:kern w:val="0"/>
          <w:sz w:val="36"/>
          <w:szCs w:val="36"/>
          <w14:textFill>
            <w14:solidFill>
              <w14:schemeClr w14:val="tx1"/>
            </w14:solidFill>
          </w14:textFill>
        </w:rPr>
      </w:pPr>
      <w:r>
        <w:rPr>
          <w:rFonts w:eastAsia="仿宋_GB2312"/>
          <w:color w:val="000000" w:themeColor="text1"/>
          <w:kern w:val="0"/>
          <w:sz w:val="36"/>
          <w:szCs w:val="36"/>
          <w14:textFill>
            <w14:solidFill>
              <w14:schemeClr w14:val="tx1"/>
            </w14:solidFill>
          </w14:textFill>
        </w:rPr>
        <w:t>项目负责人（签章）：</w:t>
      </w:r>
      <w:r>
        <w:rPr>
          <w:rFonts w:hint="eastAsia" w:eastAsia="仿宋_GB2312"/>
          <w:color w:val="000000" w:themeColor="text1"/>
          <w:kern w:val="0"/>
          <w:sz w:val="36"/>
          <w:szCs w:val="36"/>
          <w14:textFill>
            <w14:solidFill>
              <w14:schemeClr w14:val="tx1"/>
            </w14:solidFill>
          </w14:textFill>
        </w:rPr>
        <w:t>杨新梅</w:t>
      </w:r>
    </w:p>
    <w:p w14:paraId="5628753C">
      <w:pPr>
        <w:spacing w:line="700" w:lineRule="exact"/>
        <w:ind w:firstLine="1440" w:firstLineChars="400"/>
        <w:jc w:val="left"/>
        <w:rPr>
          <w:rFonts w:eastAsia="仿宋_GB2312"/>
          <w:color w:val="000000" w:themeColor="text1"/>
          <w:kern w:val="0"/>
          <w:sz w:val="36"/>
          <w:szCs w:val="36"/>
          <w14:textFill>
            <w14:solidFill>
              <w14:schemeClr w14:val="tx1"/>
            </w14:solidFill>
          </w14:textFill>
        </w:rPr>
      </w:pPr>
      <w:r>
        <w:rPr>
          <w:rFonts w:eastAsia="仿宋_GB2312"/>
          <w:color w:val="000000" w:themeColor="text1"/>
          <w:kern w:val="0"/>
          <w:sz w:val="36"/>
          <w:szCs w:val="36"/>
          <w14:textFill>
            <w14:solidFill>
              <w14:schemeClr w14:val="tx1"/>
            </w14:solidFill>
          </w14:textFill>
        </w:rPr>
        <w:t>填报时间：</w:t>
      </w:r>
      <w:r>
        <w:rPr>
          <w:rFonts w:hint="eastAsia" w:eastAsia="仿宋_GB2312"/>
          <w:color w:val="000000" w:themeColor="text1"/>
          <w:kern w:val="0"/>
          <w:sz w:val="36"/>
          <w:szCs w:val="36"/>
          <w14:textFill>
            <w14:solidFill>
              <w14:schemeClr w14:val="tx1"/>
            </w14:solidFill>
          </w14:textFill>
        </w:rPr>
        <w:t>2025</w:t>
      </w:r>
      <w:r>
        <w:rPr>
          <w:rFonts w:eastAsia="仿宋_GB2312"/>
          <w:color w:val="000000" w:themeColor="text1"/>
          <w:kern w:val="0"/>
          <w:sz w:val="36"/>
          <w:szCs w:val="36"/>
          <w14:textFill>
            <w14:solidFill>
              <w14:schemeClr w14:val="tx1"/>
            </w14:solidFill>
          </w14:textFill>
        </w:rPr>
        <w:t>年</w:t>
      </w:r>
      <w:r>
        <w:rPr>
          <w:rFonts w:hint="eastAsia" w:eastAsia="仿宋_GB2312"/>
          <w:color w:val="000000" w:themeColor="text1"/>
          <w:kern w:val="0"/>
          <w:sz w:val="36"/>
          <w:szCs w:val="36"/>
          <w14:textFill>
            <w14:solidFill>
              <w14:schemeClr w14:val="tx1"/>
            </w14:solidFill>
          </w14:textFill>
        </w:rPr>
        <w:t>4</w:t>
      </w:r>
      <w:r>
        <w:rPr>
          <w:rFonts w:eastAsia="仿宋_GB2312"/>
          <w:color w:val="000000" w:themeColor="text1"/>
          <w:kern w:val="0"/>
          <w:sz w:val="36"/>
          <w:szCs w:val="36"/>
          <w14:textFill>
            <w14:solidFill>
              <w14:schemeClr w14:val="tx1"/>
            </w14:solidFill>
          </w14:textFill>
        </w:rPr>
        <w:t>月</w:t>
      </w:r>
      <w:r>
        <w:rPr>
          <w:rFonts w:hint="eastAsia" w:eastAsia="仿宋_GB2312"/>
          <w:color w:val="000000" w:themeColor="text1"/>
          <w:kern w:val="0"/>
          <w:sz w:val="36"/>
          <w:szCs w:val="36"/>
          <w14:textFill>
            <w14:solidFill>
              <w14:schemeClr w14:val="tx1"/>
            </w14:solidFill>
          </w14:textFill>
        </w:rPr>
        <w:t>16</w:t>
      </w:r>
      <w:r>
        <w:rPr>
          <w:rFonts w:eastAsia="仿宋_GB2312"/>
          <w:color w:val="000000" w:themeColor="text1"/>
          <w:kern w:val="0"/>
          <w:sz w:val="36"/>
          <w:szCs w:val="36"/>
          <w14:textFill>
            <w14:solidFill>
              <w14:schemeClr w14:val="tx1"/>
            </w14:solidFill>
          </w14:textFill>
        </w:rPr>
        <w:t>日</w:t>
      </w:r>
    </w:p>
    <w:p w14:paraId="3D6EFB74">
      <w:pPr>
        <w:spacing w:line="540" w:lineRule="exact"/>
        <w:rPr>
          <w:rStyle w:val="15"/>
          <w:rFonts w:eastAsia="黑体"/>
          <w:b w:val="0"/>
          <w:color w:val="000000" w:themeColor="text1"/>
          <w:spacing w:val="-4"/>
          <w:sz w:val="32"/>
          <w:szCs w:val="32"/>
          <w14:textFill>
            <w14:solidFill>
              <w14:schemeClr w14:val="tx1"/>
            </w14:solidFill>
          </w14:textFill>
        </w:rPr>
      </w:pPr>
    </w:p>
    <w:p w14:paraId="688ABEED">
      <w:pPr>
        <w:spacing w:line="560" w:lineRule="exact"/>
        <w:rPr>
          <w:rFonts w:eastAsia="黑体"/>
          <w:bCs/>
          <w:color w:val="000000" w:themeColor="text1"/>
          <w:sz w:val="32"/>
          <w:szCs w:val="32"/>
          <w14:textFill>
            <w14:solidFill>
              <w14:schemeClr w14:val="tx1"/>
            </w14:solidFill>
          </w14:textFill>
        </w:rPr>
        <w:sectPr>
          <w:pgSz w:w="11906" w:h="16838"/>
          <w:pgMar w:top="1440" w:right="1558" w:bottom="1440" w:left="1800" w:header="851" w:footer="992" w:gutter="0"/>
          <w:cols w:space="425" w:num="1"/>
          <w:docGrid w:type="lines" w:linePitch="312" w:charSpace="0"/>
        </w:sectPr>
      </w:pPr>
      <w:bookmarkStart w:id="1" w:name="_GoBack"/>
      <w:bookmarkEnd w:id="1"/>
    </w:p>
    <w:p w14:paraId="2736AE49">
      <w:pPr>
        <w:spacing w:line="560" w:lineRule="exact"/>
        <w:ind w:firstLine="640" w:firstLineChars="200"/>
        <w:rPr>
          <w:rFonts w:eastAsia="黑体"/>
          <w:bCs/>
          <w:color w:val="000000" w:themeColor="text1"/>
          <w:sz w:val="32"/>
          <w:szCs w:val="32"/>
          <w14:textFill>
            <w14:solidFill>
              <w14:schemeClr w14:val="tx1"/>
            </w14:solidFill>
          </w14:textFill>
        </w:rPr>
      </w:pPr>
      <w:r>
        <w:rPr>
          <w:rFonts w:eastAsia="黑体"/>
          <w:bCs/>
          <w:color w:val="000000" w:themeColor="text1"/>
          <w:sz w:val="32"/>
          <w:szCs w:val="32"/>
          <w14:textFill>
            <w14:solidFill>
              <w14:schemeClr w14:val="tx1"/>
            </w14:solidFill>
          </w14:textFill>
        </w:rPr>
        <w:t>一、基本情况</w:t>
      </w:r>
    </w:p>
    <w:p w14:paraId="16C991B2">
      <w:pPr>
        <w:spacing w:line="560" w:lineRule="exact"/>
        <w:ind w:firstLine="643" w:firstLineChars="200"/>
        <w:rPr>
          <w:rFonts w:eastAsia="楷体_GB2312"/>
          <w:b/>
          <w:bCs/>
          <w:color w:val="000000" w:themeColor="text1"/>
          <w:sz w:val="32"/>
          <w:szCs w:val="32"/>
          <w14:textFill>
            <w14:solidFill>
              <w14:schemeClr w14:val="tx1"/>
            </w14:solidFill>
          </w14:textFill>
        </w:rPr>
      </w:pPr>
      <w:r>
        <w:rPr>
          <w:rFonts w:eastAsia="楷体_GB2312"/>
          <w:b/>
          <w:bCs/>
          <w:color w:val="000000" w:themeColor="text1"/>
          <w:sz w:val="32"/>
          <w:szCs w:val="32"/>
          <w14:textFill>
            <w14:solidFill>
              <w14:schemeClr w14:val="tx1"/>
            </w14:solidFill>
          </w14:textFill>
        </w:rPr>
        <w:t>（一）项目概况</w:t>
      </w:r>
    </w:p>
    <w:p w14:paraId="3116AED9">
      <w:pPr>
        <w:spacing w:line="560" w:lineRule="exact"/>
        <w:ind w:firstLine="643" w:firstLineChars="20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1.项目背景</w:t>
      </w:r>
    </w:p>
    <w:p w14:paraId="31AEEE47">
      <w:pPr>
        <w:spacing w:line="570" w:lineRule="exact"/>
        <w:ind w:firstLine="640"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2024年教育附加安排的支出（取暖费）项目为了方便在校学生、教师冬季能在温暖的环境下学习工作，从而解决学校2024年冬天取暖问题，使他们能够更加专注于学习，资金总计58.42万元，项目资金主要用于学校2024年冬季取暖费支出，严格把握取暖费支付流程，严格遵守财务制度，由项目绩效负责人员按进度，按照取暖费收费的标准，保障学校2024年取暖费费用正常支出，主要解决学校2024年冬季取暖问题。</w:t>
      </w:r>
    </w:p>
    <w:p w14:paraId="7923DFAD">
      <w:pPr>
        <w:pStyle w:val="9"/>
        <w:spacing w:before="0" w:after="0" w:line="560" w:lineRule="exact"/>
        <w:ind w:firstLine="643" w:firstLineChars="200"/>
        <w:jc w:val="both"/>
        <w:rPr>
          <w:rFonts w:ascii="Times New Roman" w:hAnsi="Times New Roman" w:eastAsia="仿宋_GB2312"/>
          <w:color w:val="000000" w:themeColor="text1"/>
          <w:kern w:val="2"/>
          <w14:textFill>
            <w14:solidFill>
              <w14:schemeClr w14:val="tx1"/>
            </w14:solidFill>
          </w14:textFill>
        </w:rPr>
      </w:pPr>
      <w:r>
        <w:rPr>
          <w:rFonts w:ascii="Times New Roman" w:hAnsi="Times New Roman" w:eastAsia="仿宋_GB2312"/>
          <w:color w:val="000000" w:themeColor="text1"/>
          <w:kern w:val="2"/>
          <w14:textFill>
            <w14:solidFill>
              <w14:schemeClr w14:val="tx1"/>
            </w14:solidFill>
          </w14:textFill>
        </w:rPr>
        <w:t>2.项目主要内容：</w:t>
      </w:r>
    </w:p>
    <w:p w14:paraId="7ED40701">
      <w:pPr>
        <w:pStyle w:val="21"/>
        <w:spacing w:line="57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项目主要内容： 2024年教育费附加安排的支出（取暖费）项目为了方便在校学生、教师冬季能在温暖的环境下学习工作，从而解决学校2024年冬天取暖问题，使他们能够更加专注于学习。</w:t>
      </w:r>
    </w:p>
    <w:p w14:paraId="7671D3F1">
      <w:pPr>
        <w:pStyle w:val="21"/>
        <w:spacing w:line="57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项目实施情况：2024年教育附加安排的支出（取暖费）项目的实施主体为裕民县第一中学。</w:t>
      </w:r>
    </w:p>
    <w:p w14:paraId="682E8C10">
      <w:pPr>
        <w:spacing w:line="560" w:lineRule="exact"/>
        <w:ind w:firstLine="643" w:firstLineChars="200"/>
        <w:rPr>
          <w:rFonts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3.资金投入和使用情况</w:t>
      </w:r>
    </w:p>
    <w:p w14:paraId="1EDF0DC7">
      <w:pPr>
        <w:spacing w:line="600" w:lineRule="exact"/>
        <w:ind w:firstLine="640" w:firstLineChars="200"/>
        <w:outlineLvl w:val="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（1）资金投入情况</w:t>
      </w:r>
    </w:p>
    <w:p w14:paraId="375395BB">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该项目年初预算数58.42万元</w:t>
      </w:r>
      <w:r>
        <w:rPr>
          <w:rFonts w:eastAsia="仿宋_GB2312"/>
          <w:color w:val="000000" w:themeColor="text1"/>
          <w:sz w:val="32"/>
          <w:szCs w:val="32"/>
          <w14:textFill>
            <w14:solidFill>
              <w14:schemeClr w14:val="tx1"/>
            </w14:solidFill>
          </w14:textFill>
        </w:rPr>
        <w:t>，全年预算数</w:t>
      </w:r>
      <w:r>
        <w:rPr>
          <w:rFonts w:hint="eastAsia" w:eastAsia="仿宋_GB2312"/>
          <w:color w:val="000000" w:themeColor="text1"/>
          <w:sz w:val="32"/>
          <w:szCs w:val="32"/>
          <w14:textFill>
            <w14:solidFill>
              <w14:schemeClr w14:val="tx1"/>
            </w14:solidFill>
          </w14:textFill>
        </w:rPr>
        <w:t>58.42</w:t>
      </w:r>
      <w:r>
        <w:rPr>
          <w:rFonts w:eastAsia="仿宋_GB2312"/>
          <w:color w:val="000000" w:themeColor="text1"/>
          <w:sz w:val="32"/>
          <w:szCs w:val="32"/>
          <w14:textFill>
            <w14:solidFill>
              <w14:schemeClr w14:val="tx1"/>
            </w14:solidFill>
          </w14:textFill>
        </w:rPr>
        <w:t>万元，该项目资金已全部落实到位，资金来源为</w:t>
      </w:r>
      <w:r>
        <w:rPr>
          <w:rFonts w:hint="eastAsia" w:eastAsia="仿宋_GB2312"/>
          <w:color w:val="000000" w:themeColor="text1"/>
          <w:sz w:val="32"/>
          <w:szCs w:val="32"/>
          <w14:textFill>
            <w14:solidFill>
              <w14:schemeClr w14:val="tx1"/>
            </w14:solidFill>
          </w14:textFill>
        </w:rPr>
        <w:t>财政拨款</w:t>
      </w:r>
      <w:r>
        <w:rPr>
          <w:rFonts w:eastAsia="仿宋_GB2312"/>
          <w:color w:val="000000" w:themeColor="text1"/>
          <w:sz w:val="32"/>
          <w:szCs w:val="32"/>
          <w14:textFill>
            <w14:solidFill>
              <w14:schemeClr w14:val="tx1"/>
            </w14:solidFill>
          </w14:textFill>
        </w:rPr>
        <w:t>。</w:t>
      </w:r>
    </w:p>
    <w:p w14:paraId="2DAB237C">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（2）资金使用情况</w:t>
      </w:r>
    </w:p>
    <w:p w14:paraId="03ACC1F2">
      <w:pPr>
        <w:spacing w:line="57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该项目年初预算数</w:t>
      </w:r>
      <w:r>
        <w:rPr>
          <w:rFonts w:hint="eastAsia" w:eastAsia="仿宋_GB2312"/>
          <w:color w:val="000000" w:themeColor="text1"/>
          <w:sz w:val="32"/>
          <w:szCs w:val="32"/>
          <w14:textFill>
            <w14:solidFill>
              <w14:schemeClr w14:val="tx1"/>
            </w14:solidFill>
          </w14:textFill>
        </w:rPr>
        <w:t>58.42</w:t>
      </w:r>
      <w:r>
        <w:rPr>
          <w:rFonts w:eastAsia="仿宋_GB2312"/>
          <w:color w:val="000000" w:themeColor="text1"/>
          <w:sz w:val="32"/>
          <w:szCs w:val="32"/>
          <w14:textFill>
            <w14:solidFill>
              <w14:schemeClr w14:val="tx1"/>
            </w14:solidFill>
          </w14:textFill>
        </w:rPr>
        <w:t>万元，全年预算数</w:t>
      </w:r>
      <w:r>
        <w:rPr>
          <w:rFonts w:hint="eastAsia" w:eastAsia="仿宋_GB2312"/>
          <w:color w:val="000000" w:themeColor="text1"/>
          <w:sz w:val="32"/>
          <w:szCs w:val="32"/>
          <w14:textFill>
            <w14:solidFill>
              <w14:schemeClr w14:val="tx1"/>
            </w14:solidFill>
          </w14:textFill>
        </w:rPr>
        <w:t>58.42</w:t>
      </w:r>
      <w:r>
        <w:rPr>
          <w:rFonts w:eastAsia="仿宋_GB2312"/>
          <w:color w:val="000000" w:themeColor="text1"/>
          <w:sz w:val="32"/>
          <w:szCs w:val="32"/>
          <w14:textFill>
            <w14:solidFill>
              <w14:schemeClr w14:val="tx1"/>
            </w14:solidFill>
          </w14:textFill>
        </w:rPr>
        <w:t>万元</w:t>
      </w:r>
      <w:r>
        <w:rPr>
          <w:rFonts w:hint="eastAsia" w:eastAsia="仿宋_GB2312"/>
          <w:color w:val="000000" w:themeColor="text1"/>
          <w:sz w:val="32"/>
          <w:szCs w:val="32"/>
          <w14:textFill>
            <w14:solidFill>
              <w14:schemeClr w14:val="tx1"/>
            </w14:solidFill>
          </w14:textFill>
        </w:rPr>
        <w:t>，</w:t>
      </w:r>
      <w:r>
        <w:rPr>
          <w:rFonts w:eastAsia="仿宋_GB2312"/>
          <w:color w:val="000000" w:themeColor="text1"/>
          <w:sz w:val="32"/>
          <w:szCs w:val="32"/>
          <w14:textFill>
            <w14:solidFill>
              <w14:schemeClr w14:val="tx1"/>
            </w14:solidFill>
          </w14:textFill>
        </w:rPr>
        <w:t>全年执行数</w:t>
      </w:r>
      <w:r>
        <w:rPr>
          <w:rFonts w:hint="eastAsia" w:eastAsia="仿宋_GB2312"/>
          <w:color w:val="000000" w:themeColor="text1"/>
          <w:sz w:val="32"/>
          <w:szCs w:val="32"/>
          <w14:textFill>
            <w14:solidFill>
              <w14:schemeClr w14:val="tx1"/>
            </w14:solidFill>
          </w14:textFill>
        </w:rPr>
        <w:t>58.42</w:t>
      </w:r>
      <w:r>
        <w:rPr>
          <w:rFonts w:eastAsia="仿宋_GB2312"/>
          <w:color w:val="000000" w:themeColor="text1"/>
          <w:sz w:val="32"/>
          <w:szCs w:val="32"/>
          <w14:textFill>
            <w14:solidFill>
              <w14:schemeClr w14:val="tx1"/>
            </w14:solidFill>
          </w14:textFill>
        </w:rPr>
        <w:t>万元，预算执行率为</w:t>
      </w:r>
      <w:r>
        <w:rPr>
          <w:rFonts w:hint="eastAsia" w:eastAsia="仿宋_GB2312"/>
          <w:color w:val="000000" w:themeColor="text1"/>
          <w:sz w:val="32"/>
          <w:szCs w:val="32"/>
          <w14:textFill>
            <w14:solidFill>
              <w14:schemeClr w14:val="tx1"/>
            </w14:solidFill>
          </w14:textFill>
        </w:rPr>
        <w:t>100</w:t>
      </w:r>
      <w:r>
        <w:rPr>
          <w:rFonts w:eastAsia="仿宋_GB2312"/>
          <w:color w:val="000000" w:themeColor="text1"/>
          <w:sz w:val="32"/>
          <w:szCs w:val="32"/>
          <w14:textFill>
            <w14:solidFill>
              <w14:schemeClr w14:val="tx1"/>
            </w14:solidFill>
          </w14:textFill>
        </w:rPr>
        <w:t>%，主要用于：</w:t>
      </w:r>
      <w:r>
        <w:rPr>
          <w:rFonts w:hint="eastAsia" w:ascii="仿宋_GB2312" w:hAnsi="仿宋_GB2312" w:eastAsia="仿宋_GB2312" w:cs="仿宋_GB2312"/>
          <w:color w:val="000000" w:themeColor="text1"/>
          <w:sz w:val="32"/>
          <w:szCs w:val="32"/>
          <w14:textFill>
            <w14:solidFill>
              <w14:schemeClr w14:val="tx1"/>
            </w14:solidFill>
          </w14:textFill>
        </w:rPr>
        <w:t>支付学校2024年冬季取暖费用58.42万元。</w:t>
      </w:r>
    </w:p>
    <w:p w14:paraId="572ABB10">
      <w:pPr>
        <w:spacing w:line="560" w:lineRule="exact"/>
        <w:ind w:firstLine="643" w:firstLineChars="200"/>
        <w:rPr>
          <w:rFonts w:eastAsia="楷体_GB2312"/>
          <w:b/>
          <w:bCs/>
          <w:color w:val="000000" w:themeColor="text1"/>
          <w:sz w:val="32"/>
          <w:szCs w:val="32"/>
          <w14:textFill>
            <w14:solidFill>
              <w14:schemeClr w14:val="tx1"/>
            </w14:solidFill>
          </w14:textFill>
        </w:rPr>
      </w:pPr>
      <w:r>
        <w:rPr>
          <w:rFonts w:eastAsia="楷体_GB2312"/>
          <w:b/>
          <w:bCs/>
          <w:color w:val="000000" w:themeColor="text1"/>
          <w:sz w:val="32"/>
          <w:szCs w:val="32"/>
          <w14:textFill>
            <w14:solidFill>
              <w14:schemeClr w14:val="tx1"/>
            </w14:solidFill>
          </w14:textFill>
        </w:rPr>
        <w:t>（二）项目绩效目标</w:t>
      </w:r>
    </w:p>
    <w:p w14:paraId="77F4A632">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1.总体目标</w:t>
      </w:r>
      <w:r>
        <w:rPr>
          <w:rFonts w:eastAsia="仿宋_GB2312"/>
          <w:color w:val="000000" w:themeColor="text1"/>
          <w:sz w:val="32"/>
          <w:szCs w:val="32"/>
          <w14:textFill>
            <w14:solidFill>
              <w14:schemeClr w14:val="tx1"/>
            </w14:solidFill>
          </w14:textFill>
        </w:rPr>
        <w:br w:type="textWrapping"/>
      </w:r>
      <w:r>
        <w:rPr>
          <w:rFonts w:hint="eastAsia" w:eastAsia="仿宋_GB2312"/>
          <w:color w:val="000000" w:themeColor="text1"/>
          <w:sz w:val="32"/>
          <w:szCs w:val="32"/>
          <w14:textFill>
            <w14:solidFill>
              <w14:schemeClr w14:val="tx1"/>
            </w14:solidFill>
          </w14:textFill>
        </w:rPr>
        <w:t>单位2024年教育费附加安排的支出（取暖费）项目，2024年计划支出58.42万元，用于支付我校2024年19875.36平方米取暖费，项目实施后，能够达到1、保障高中教育阶段学校正常的取暖经费开支运转、提供完成教育教学活动供暖环境的保障的正常支出。 2、财政下拨资金，用于支付当年单位日常取暖开支，计划分月逐步支出。 3、中小学公用取暖经费为中小学日常教学运转提供供暖财力支持与保障，教学的各个方面都得到了一定的财力支持，从而使得教学顺利进行。 4、管好用好取暖经费关系到学校正常运转，是教学顺利高效进行的前提，也是提高教育质量和办学档次的重要保障等效。</w:t>
      </w:r>
    </w:p>
    <w:p w14:paraId="2DADC2EB">
      <w:pPr>
        <w:spacing w:line="60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2.阶段性目标</w:t>
      </w:r>
      <w:r>
        <w:rPr>
          <w:rFonts w:eastAsia="仿宋_GB2312"/>
          <w:color w:val="000000" w:themeColor="text1"/>
          <w:sz w:val="32"/>
          <w:szCs w:val="32"/>
          <w14:textFill>
            <w14:solidFill>
              <w14:schemeClr w14:val="tx1"/>
            </w14:solidFill>
          </w14:textFill>
        </w:rPr>
        <w:br w:type="textWrapping"/>
      </w:r>
      <w:r>
        <w:rPr>
          <w:rFonts w:hint="eastAsia" w:eastAsia="仿宋_GB2312"/>
          <w:color w:val="000000" w:themeColor="text1"/>
          <w:sz w:val="32"/>
          <w:szCs w:val="32"/>
          <w14:textFill>
            <w14:solidFill>
              <w14:schemeClr w14:val="tx1"/>
            </w14:solidFill>
          </w14:textFill>
        </w:rPr>
        <w:t>2024年教育费附加安排的支出（取暖费）项目完成第一中学2024年一年的集中供暖费，确保项目按时完成，与2024年8月31日前把取暖费资金支付给供暖公司。</w:t>
      </w:r>
    </w:p>
    <w:p w14:paraId="027E8060">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二、绩效评价工作开展情况</w:t>
      </w:r>
    </w:p>
    <w:p w14:paraId="70619A48">
      <w:pPr>
        <w:spacing w:line="560" w:lineRule="exact"/>
        <w:ind w:firstLine="643" w:firstLineChars="200"/>
        <w:rPr>
          <w:rFonts w:eastAsia="楷体_GB2312"/>
          <w:b/>
          <w:bCs/>
          <w:color w:val="000000" w:themeColor="text1"/>
          <w:sz w:val="32"/>
          <w:szCs w:val="32"/>
          <w14:textFill>
            <w14:solidFill>
              <w14:schemeClr w14:val="tx1"/>
            </w14:solidFill>
          </w14:textFill>
        </w:rPr>
      </w:pPr>
      <w:r>
        <w:rPr>
          <w:rFonts w:eastAsia="楷体_GB2312"/>
          <w:b/>
          <w:bCs/>
          <w:color w:val="000000" w:themeColor="text1"/>
          <w:sz w:val="32"/>
          <w:szCs w:val="32"/>
          <w14:textFill>
            <w14:solidFill>
              <w14:schemeClr w14:val="tx1"/>
            </w14:solidFill>
          </w14:textFill>
        </w:rPr>
        <w:t>（一）绩效评价目的、对象和范围</w:t>
      </w:r>
    </w:p>
    <w:p w14:paraId="40A9C590">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1.绩效评价完整性</w:t>
      </w:r>
    </w:p>
    <w:p w14:paraId="75399037">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09DFCDC">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在评价指标体系的构建上，充分考虑了项目的性质、目标以及预期成果，选取了具有代表性和可衡量性的关键指标，涵盖了经济效益、社会效益、</w:t>
      </w:r>
      <w:r>
        <w:rPr>
          <w:rFonts w:hint="eastAsia" w:eastAsia="仿宋_GB2312"/>
          <w:color w:val="000000" w:themeColor="text1"/>
          <w:sz w:val="32"/>
          <w:szCs w:val="32"/>
          <w14:textFill>
            <w14:solidFill>
              <w14:schemeClr w14:val="tx1"/>
            </w14:solidFill>
          </w14:textFill>
        </w:rPr>
        <w:t>生态</w:t>
      </w:r>
      <w:r>
        <w:rPr>
          <w:rFonts w:eastAsia="仿宋_GB2312"/>
          <w:color w:val="000000" w:themeColor="text1"/>
          <w:sz w:val="32"/>
          <w:szCs w:val="32"/>
          <w14:textFill>
            <w14:solidFill>
              <w14:schemeClr w14:val="tx1"/>
            </w14:solidFill>
          </w14:textFill>
        </w:rPr>
        <w:t>效益等多个维度，力求全方位反映项目的绩效状况。同时，对于每个指标的评价标准和数据来源均进行了明确说明，确保评价结果的客观性和可追溯性。</w:t>
      </w:r>
    </w:p>
    <w:p w14:paraId="1C1DE3D3">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4CE1EB8">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3245142">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4ECBC0D">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2.绩效评价的目的</w:t>
      </w:r>
    </w:p>
    <w:p w14:paraId="1FC89135">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（1）评估项目实施效果</w:t>
      </w:r>
    </w:p>
    <w:p w14:paraId="47C6966F">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通过对项目预算执行情况及各项绩效目标达成程度的系统性分析，全面、客观地评估项目在预定周期内的实施效果，包括经济效益、社会效益、</w:t>
      </w:r>
      <w:r>
        <w:rPr>
          <w:rFonts w:hint="eastAsia" w:eastAsia="仿宋_GB2312"/>
          <w:color w:val="000000" w:themeColor="text1"/>
          <w:sz w:val="32"/>
          <w:szCs w:val="32"/>
          <w14:textFill>
            <w14:solidFill>
              <w14:schemeClr w14:val="tx1"/>
            </w14:solidFill>
          </w14:textFill>
        </w:rPr>
        <w:t>生态</w:t>
      </w:r>
      <w:r>
        <w:rPr>
          <w:rFonts w:eastAsia="仿宋_GB2312"/>
          <w:color w:val="000000" w:themeColor="text1"/>
          <w:sz w:val="32"/>
          <w:szCs w:val="32"/>
          <w14:textFill>
            <w14:solidFill>
              <w14:schemeClr w14:val="tx1"/>
            </w14:solidFill>
          </w14:textFill>
        </w:rPr>
        <w:t>效益以及可持续性（根据项目实际情况选填）等多维度指标，为项目后续的改进与优化提供科学依据。</w:t>
      </w:r>
    </w:p>
    <w:p w14:paraId="113B9DE7">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（2）提升资源利用效率</w:t>
      </w:r>
    </w:p>
    <w:p w14:paraId="6866A8A8">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F7EC4D5">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（3）强化项目管理责任</w:t>
      </w:r>
    </w:p>
    <w:p w14:paraId="221A313E">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2A61889">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（4）为决策提供支持</w:t>
      </w:r>
    </w:p>
    <w:p w14:paraId="6F5EA7AD">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C4DAEE1">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（5）促进项目持续改进</w:t>
      </w:r>
    </w:p>
    <w:p w14:paraId="6FCA2F97">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8146A80">
      <w:pPr>
        <w:spacing w:line="560" w:lineRule="exact"/>
        <w:ind w:firstLine="640" w:firstLineChars="200"/>
        <w:rPr>
          <w:rFonts w:eastAsia="方正仿宋_GBK"/>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EB66514">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3</w:t>
      </w:r>
      <w:r>
        <w:rPr>
          <w:rFonts w:ascii="Times New Roman" w:hAnsi="Times New Roman" w:eastAsia="仿宋_GB2312"/>
          <w:color w:val="000000" w:themeColor="text1"/>
          <w14:textFill>
            <w14:solidFill>
              <w14:schemeClr w14:val="tx1"/>
            </w14:solidFill>
          </w14:textFill>
        </w:rPr>
        <w:t>.</w:t>
      </w:r>
      <w:r>
        <w:rPr>
          <w:rFonts w:ascii="Times New Roman" w:hAnsi="Times New Roman" w:eastAsia="仿宋_GB2312"/>
          <w:b w:val="0"/>
          <w:bCs w:val="0"/>
          <w:color w:val="000000" w:themeColor="text1"/>
          <w14:textFill>
            <w14:solidFill>
              <w14:schemeClr w14:val="tx1"/>
            </w14:solidFill>
          </w14:textFill>
        </w:rPr>
        <w:t>绩效评价的对象</w:t>
      </w:r>
    </w:p>
    <w:p w14:paraId="4BC90DC9">
      <w:pPr>
        <w:spacing w:line="570" w:lineRule="exact"/>
        <w:ind w:firstLine="640" w:firstLineChars="200"/>
        <w:rPr>
          <w:rFonts w:eastAsia="仿宋_GB2312"/>
          <w:color w:val="000000" w:themeColor="text1"/>
          <w:kern w:val="28"/>
          <w:sz w:val="32"/>
          <w:szCs w:val="32"/>
          <w14:textFill>
            <w14:solidFill>
              <w14:schemeClr w14:val="tx1"/>
            </w14:solidFill>
          </w14:textFill>
        </w:rPr>
      </w:pPr>
      <w:r>
        <w:rPr>
          <w:rFonts w:eastAsia="仿宋_GB2312"/>
          <w:color w:val="000000" w:themeColor="text1"/>
          <w:kern w:val="28"/>
          <w:sz w:val="32"/>
          <w:szCs w:val="32"/>
          <w14:textFill>
            <w14:solidFill>
              <w14:schemeClr w14:val="tx1"/>
            </w14:solidFill>
          </w14:textFill>
        </w:rPr>
        <w:t>本项目预算绩效评价报告的评价对象是</w:t>
      </w:r>
      <w:r>
        <w:rPr>
          <w:rFonts w:hint="eastAsia" w:eastAsia="仿宋_GB2312"/>
          <w:color w:val="000000" w:themeColor="text1"/>
          <w:kern w:val="28"/>
          <w:sz w:val="32"/>
          <w:szCs w:val="32"/>
          <w14:textFill>
            <w14:solidFill>
              <w14:schemeClr w14:val="tx1"/>
            </w14:solidFill>
          </w14:textFill>
        </w:rPr>
        <w:t>2024年教育附加安排的支出（取暖费）</w:t>
      </w:r>
      <w:r>
        <w:rPr>
          <w:rFonts w:eastAsia="仿宋_GB2312"/>
          <w:color w:val="000000" w:themeColor="text1"/>
          <w:kern w:val="28"/>
          <w:sz w:val="32"/>
          <w:szCs w:val="32"/>
          <w14:textFill>
            <w14:solidFill>
              <w14:schemeClr w14:val="tx1"/>
            </w14:solidFill>
          </w14:textFill>
        </w:rPr>
        <w:t>及其预算执行情况。该项目由</w:t>
      </w:r>
      <w:r>
        <w:rPr>
          <w:rFonts w:hint="eastAsia" w:eastAsia="仿宋_GB2312"/>
          <w:color w:val="000000" w:themeColor="text1"/>
          <w:kern w:val="28"/>
          <w:sz w:val="32"/>
          <w:szCs w:val="32"/>
          <w14:textFill>
            <w14:solidFill>
              <w14:schemeClr w14:val="tx1"/>
            </w14:solidFill>
          </w14:textFill>
        </w:rPr>
        <w:t>裕民县第一中学</w:t>
      </w:r>
      <w:r>
        <w:rPr>
          <w:rFonts w:eastAsia="仿宋_GB2312"/>
          <w:color w:val="000000" w:themeColor="text1"/>
          <w:kern w:val="28"/>
          <w:sz w:val="32"/>
          <w:szCs w:val="32"/>
          <w14:textFill>
            <w14:solidFill>
              <w14:schemeClr w14:val="tx1"/>
            </w14:solidFill>
          </w14:textFill>
        </w:rPr>
        <w:t>负责实施，旨在</w:t>
      </w:r>
      <w:r>
        <w:rPr>
          <w:rFonts w:hint="eastAsia" w:eastAsia="仿宋_GB2312"/>
          <w:color w:val="000000" w:themeColor="text1"/>
          <w:kern w:val="28"/>
          <w:sz w:val="32"/>
          <w:szCs w:val="32"/>
          <w14:textFill>
            <w14:solidFill>
              <w14:schemeClr w14:val="tx1"/>
            </w14:solidFill>
          </w14:textFill>
        </w:rPr>
        <w:t>支付学校2024年冬季取暖费用58.42万元</w:t>
      </w:r>
      <w:r>
        <w:rPr>
          <w:rFonts w:eastAsia="仿宋_GB2312"/>
          <w:color w:val="000000" w:themeColor="text1"/>
          <w:kern w:val="28"/>
          <w:sz w:val="32"/>
          <w:szCs w:val="32"/>
          <w14:textFill>
            <w14:solidFill>
              <w14:schemeClr w14:val="tx1"/>
            </w14:solidFill>
          </w14:textFill>
        </w:rPr>
        <w:t>。项目预算涵盖从</w:t>
      </w:r>
      <w:r>
        <w:rPr>
          <w:rFonts w:hint="eastAsia" w:eastAsia="仿宋_GB2312"/>
          <w:color w:val="000000" w:themeColor="text1"/>
          <w:kern w:val="28"/>
          <w:sz w:val="32"/>
          <w:szCs w:val="32"/>
          <w14:textFill>
            <w14:solidFill>
              <w14:schemeClr w14:val="tx1"/>
            </w14:solidFill>
          </w14:textFill>
        </w:rPr>
        <w:t>2024年1月</w:t>
      </w:r>
      <w:r>
        <w:rPr>
          <w:rFonts w:eastAsia="仿宋_GB2312"/>
          <w:color w:val="000000" w:themeColor="text1"/>
          <w:kern w:val="28"/>
          <w:sz w:val="32"/>
          <w:szCs w:val="32"/>
          <w14:textFill>
            <w14:solidFill>
              <w14:schemeClr w14:val="tx1"/>
            </w14:solidFill>
          </w14:textFill>
        </w:rPr>
        <w:t>至</w:t>
      </w:r>
      <w:r>
        <w:rPr>
          <w:rFonts w:hint="eastAsia" w:eastAsia="仿宋_GB2312"/>
          <w:color w:val="000000" w:themeColor="text1"/>
          <w:kern w:val="28"/>
          <w:sz w:val="32"/>
          <w:szCs w:val="32"/>
          <w14:textFill>
            <w14:solidFill>
              <w14:schemeClr w14:val="tx1"/>
            </w14:solidFill>
          </w14:textFill>
        </w:rPr>
        <w:t>2024年12月</w:t>
      </w:r>
      <w:r>
        <w:rPr>
          <w:rFonts w:eastAsia="仿宋_GB2312"/>
          <w:color w:val="000000" w:themeColor="text1"/>
          <w:kern w:val="28"/>
          <w:sz w:val="32"/>
          <w:szCs w:val="32"/>
          <w14:textFill>
            <w14:solidFill>
              <w14:schemeClr w14:val="tx1"/>
            </w14:solidFill>
          </w14:textFill>
        </w:rPr>
        <w:t>的全部资金投入与支出，涉及资金总额为</w:t>
      </w:r>
      <w:r>
        <w:rPr>
          <w:rFonts w:hint="eastAsia" w:eastAsia="仿宋_GB2312"/>
          <w:color w:val="000000" w:themeColor="text1"/>
          <w:kern w:val="28"/>
          <w:sz w:val="32"/>
          <w:szCs w:val="32"/>
          <w14:textFill>
            <w14:solidFill>
              <w14:schemeClr w14:val="tx1"/>
            </w14:solidFill>
          </w14:textFill>
        </w:rPr>
        <w:t>58.42</w:t>
      </w:r>
      <w:r>
        <w:rPr>
          <w:rFonts w:eastAsia="仿宋_GB2312"/>
          <w:color w:val="000000" w:themeColor="text1"/>
          <w:kern w:val="28"/>
          <w:sz w:val="32"/>
          <w:szCs w:val="32"/>
          <w14:textFill>
            <w14:solidFill>
              <w14:schemeClr w14:val="tx1"/>
            </w14:solidFill>
          </w14:textFill>
        </w:rPr>
        <w:t>万元。</w:t>
      </w:r>
    </w:p>
    <w:p w14:paraId="758261FC">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4.绩效评价的范围</w:t>
      </w:r>
    </w:p>
    <w:p w14:paraId="5CE1CBB9">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本项目预算绩效评价报告的评价范围广泛而全面，涵盖了从项目立项至评价时点期间的所有关键预算活动和财务流程。具体而言，评价范围包括但不限于以下几个方面：</w:t>
      </w:r>
    </w:p>
    <w:p w14:paraId="5B2BB5CA">
      <w:pPr>
        <w:pStyle w:val="9"/>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项目预算编制与执行：全面审视项目预算的编制依据、合理性、科学性以及实际执行情况，包括预算调整的原因和效果。</w:t>
      </w:r>
    </w:p>
    <w:p w14:paraId="0B3491F2">
      <w:pPr>
        <w:pStyle w:val="9"/>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资金管理：深入分析项目资金的分配、使用和监管情况，确保资金使用的合规性、高效性和透明度。</w:t>
      </w:r>
    </w:p>
    <w:p w14:paraId="052CA584">
      <w:pPr>
        <w:pStyle w:val="9"/>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项目实施进度与产出：评估项目是否按照既定计划顺利推进，各项任务是否按时完成，以及项目产出的数量、质量和时效性是否符合预期。</w:t>
      </w:r>
    </w:p>
    <w:p w14:paraId="6448A753">
      <w:pPr>
        <w:pStyle w:val="9"/>
        <w:widowControl w:val="0"/>
        <w:numPr>
          <w:ilvl w:val="0"/>
          <w:numId w:val="1"/>
        </w:numPr>
        <w:spacing w:before="0" w:after="0" w:line="560" w:lineRule="exact"/>
        <w:ind w:firstLine="640" w:firstLineChars="200"/>
        <w:jc w:val="both"/>
        <w:outlineLvl w:val="9"/>
        <w:rPr>
          <w:rFonts w:hint="eastAsia"/>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社会、</w:t>
      </w:r>
      <w:r>
        <w:rPr>
          <w:rFonts w:hint="eastAsia" w:ascii="Times New Roman" w:hAnsi="Times New Roman" w:eastAsia="仿宋_GB2312"/>
          <w:b w:val="0"/>
          <w:bCs w:val="0"/>
          <w:color w:val="000000" w:themeColor="text1"/>
          <w14:textFill>
            <w14:solidFill>
              <w14:schemeClr w14:val="tx1"/>
            </w14:solidFill>
          </w14:textFill>
        </w:rPr>
        <w:t>生态</w:t>
      </w:r>
      <w:r>
        <w:rPr>
          <w:rFonts w:ascii="Times New Roman" w:hAnsi="Times New Roman" w:eastAsia="仿宋_GB2312"/>
          <w:b w:val="0"/>
          <w:bCs w:val="0"/>
          <w:color w:val="000000" w:themeColor="text1"/>
          <w14:textFill>
            <w14:solidFill>
              <w14:schemeClr w14:val="tx1"/>
            </w14:solidFill>
          </w14:textFill>
        </w:rPr>
        <w:t>等影响：考察项目对社会、</w:t>
      </w:r>
      <w:r>
        <w:rPr>
          <w:rFonts w:hint="eastAsia" w:ascii="Times New Roman" w:hAnsi="Times New Roman" w:eastAsia="仿宋_GB2312"/>
          <w:b w:val="0"/>
          <w:bCs w:val="0"/>
          <w:color w:val="000000" w:themeColor="text1"/>
          <w14:textFill>
            <w14:solidFill>
              <w14:schemeClr w14:val="tx1"/>
            </w14:solidFill>
          </w14:textFill>
        </w:rPr>
        <w:t>生态</w:t>
      </w:r>
      <w:r>
        <w:rPr>
          <w:rFonts w:ascii="Times New Roman" w:hAnsi="Times New Roman" w:eastAsia="仿宋_GB2312"/>
          <w:b w:val="0"/>
          <w:bCs w:val="0"/>
          <w:color w:val="000000" w:themeColor="text1"/>
          <w14:textFill>
            <w14:solidFill>
              <w14:schemeClr w14:val="tx1"/>
            </w14:solidFill>
          </w14:textFill>
        </w:rPr>
        <w:t>、经济等方面的综合影响。</w:t>
      </w:r>
    </w:p>
    <w:p w14:paraId="1A31F38D">
      <w:pPr>
        <w:pStyle w:val="9"/>
        <w:widowControl w:val="0"/>
        <w:spacing w:before="0" w:after="0" w:line="560" w:lineRule="exact"/>
        <w:ind w:left="643"/>
        <w:jc w:val="both"/>
        <w:outlineLvl w:val="9"/>
        <w:rPr>
          <w:color w:val="000000" w:themeColor="text1"/>
          <w14:textFill>
            <w14:solidFill>
              <w14:schemeClr w14:val="tx1"/>
            </w14:solidFill>
          </w14:textFill>
        </w:rPr>
      </w:pPr>
      <w:r>
        <w:rPr>
          <w:rFonts w:eastAsia="楷体_GB2312"/>
          <w:color w:val="000000" w:themeColor="text1"/>
          <w14:textFill>
            <w14:solidFill>
              <w14:schemeClr w14:val="tx1"/>
            </w14:solidFill>
          </w14:textFill>
        </w:rPr>
        <w:t>（二）绩效评价原则、评价指标体系（详情见表1）、评价方法、评价标准。</w:t>
      </w:r>
    </w:p>
    <w:p w14:paraId="386E6CD9">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1</w:t>
      </w:r>
      <w:r>
        <w:rPr>
          <w:rFonts w:ascii="Times New Roman" w:hAnsi="Times New Roman" w:eastAsia="仿宋_GB2312"/>
          <w:color w:val="000000" w:themeColor="text1"/>
          <w14:textFill>
            <w14:solidFill>
              <w14:schemeClr w14:val="tx1"/>
            </w14:solidFill>
          </w14:textFill>
        </w:rPr>
        <w:t>.</w:t>
      </w:r>
      <w:r>
        <w:rPr>
          <w:rFonts w:ascii="Times New Roman" w:hAnsi="Times New Roman" w:eastAsia="仿宋_GB2312"/>
          <w:b w:val="0"/>
          <w:bCs w:val="0"/>
          <w:color w:val="000000" w:themeColor="text1"/>
          <w14:textFill>
            <w14:solidFill>
              <w14:schemeClr w14:val="tx1"/>
            </w14:solidFill>
          </w14:textFill>
        </w:rPr>
        <w:t>绩效评价原则</w:t>
      </w:r>
    </w:p>
    <w:p w14:paraId="0B8D9B3D">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本次项目绩效评价遵循以下基本原则：</w:t>
      </w:r>
    </w:p>
    <w:p w14:paraId="06397C4B">
      <w:pPr>
        <w:pStyle w:val="9"/>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（1）科学公正。绩效评价应当运用科学合理的方法，按照规范的程序，对项目绩效进行客观、公正的反映。</w:t>
      </w:r>
    </w:p>
    <w:p w14:paraId="3D31DF29">
      <w:pPr>
        <w:pStyle w:val="9"/>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w:t>
      </w:r>
    </w:p>
    <w:p w14:paraId="3F0A1373">
      <w:pPr>
        <w:pStyle w:val="9"/>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（3）激励约束。绩效评价结果应与预算安排、政策调整、改进管理实质性挂钩，体现奖优罚劣和激励相容导向，有效要安排、低效要压减、无效要问责。</w:t>
      </w:r>
    </w:p>
    <w:p w14:paraId="1CFBB321">
      <w:pPr>
        <w:pStyle w:val="9"/>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（4）公开透明。绩效评价结果应依法依规公开，并自觉接受社会监督。</w:t>
      </w:r>
    </w:p>
    <w:p w14:paraId="486B1389">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2</w:t>
      </w:r>
      <w:r>
        <w:rPr>
          <w:rFonts w:ascii="Times New Roman" w:hAnsi="Times New Roman" w:eastAsia="仿宋_GB2312"/>
          <w:color w:val="000000" w:themeColor="text1"/>
          <w14:textFill>
            <w14:solidFill>
              <w14:schemeClr w14:val="tx1"/>
            </w14:solidFill>
          </w14:textFill>
        </w:rPr>
        <w:t>.</w:t>
      </w:r>
      <w:r>
        <w:rPr>
          <w:rFonts w:ascii="Times New Roman" w:hAnsi="Times New Roman" w:eastAsia="仿宋_GB2312"/>
          <w:b w:val="0"/>
          <w:bCs w:val="0"/>
          <w:color w:val="000000" w:themeColor="text1"/>
          <w14:textFill>
            <w14:solidFill>
              <w14:schemeClr w14:val="tx1"/>
            </w14:solidFill>
          </w14:textFill>
        </w:rPr>
        <w:t>评价指标体系</w:t>
      </w:r>
    </w:p>
    <w:p w14:paraId="41E74C5E">
      <w:pPr>
        <w:spacing w:line="560" w:lineRule="exact"/>
        <w:ind w:firstLine="708" w:firstLineChars="200"/>
        <w:rPr>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绩效评价框架是开展绩效评价的核心。绩效评价框架包括评价准则、关键评价问题、评价指标、数据来源、数据收集方法等。指标体系建立过程如下：</w:t>
      </w:r>
    </w:p>
    <w:p w14:paraId="0F4FAF3A">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（1）确定评价指标</w:t>
      </w:r>
    </w:p>
    <w:p w14:paraId="36FD3517">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采用层次分析法，建立评价指标体系。绩效评价将指标分为项目决策指标、项目过程指标、项目产出指标、项目效益指标四个维度，最终形成一个由多个相互联系的指标组成的多层次指标体系。</w:t>
      </w:r>
    </w:p>
    <w:p w14:paraId="571D33DB">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（2）确定权重</w:t>
      </w:r>
    </w:p>
    <w:p w14:paraId="5B35A0BD">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确定各个指标相对于项目总体绩效的权重分值。在绩效评价指标体系中，项目决策权重为20分，项目过程权重为20分，项目产出权重为40分，项目效益权重为20分。</w:t>
      </w:r>
    </w:p>
    <w:p w14:paraId="4A864F13">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（3）确定指标标准值</w:t>
      </w:r>
    </w:p>
    <w:p w14:paraId="0F627E6A">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指标标准值是绩效评价指标的尺度，既要反映同类项目的先进水平，又要符合项目的实际绩效水平。具体采用计划标准等确定此次绩效评价指标标准值。</w:t>
      </w:r>
    </w:p>
    <w:p w14:paraId="0772EC4D">
      <w:pPr>
        <w:pStyle w:val="9"/>
        <w:spacing w:before="0" w:after="0" w:line="560" w:lineRule="exact"/>
        <w:ind w:firstLine="708" w:firstLineChars="200"/>
        <w:jc w:val="both"/>
        <w:rPr>
          <w:rFonts w:ascii="Times New Roman" w:hAnsi="Times New Roman" w:eastAsia="仿宋_GB2312"/>
          <w:b w:val="0"/>
          <w:bCs w:val="0"/>
          <w:color w:val="000000" w:themeColor="text1"/>
          <w:spacing w:val="17"/>
          <w:kern w:val="2"/>
          <w14:textFill>
            <w14:solidFill>
              <w14:schemeClr w14:val="tx1"/>
            </w14:solidFill>
          </w14:textFill>
        </w:rPr>
      </w:pPr>
      <w:r>
        <w:rPr>
          <w:rFonts w:ascii="Times New Roman" w:hAnsi="Times New Roman" w:eastAsia="仿宋_GB2312"/>
          <w:b w:val="0"/>
          <w:bCs w:val="0"/>
          <w:color w:val="000000" w:themeColor="text1"/>
          <w:spacing w:val="17"/>
          <w:kern w:val="2"/>
          <w14:textFill>
            <w14:solidFill>
              <w14:schemeClr w14:val="tx1"/>
            </w14:solidFill>
          </w14:textFill>
        </w:rPr>
        <w:t>绩效评价总分值100分，根据综合评分结果，90（含）-100分为优、80（含）-90分为良、60（含）-80分为中、60分以下为差。</w:t>
      </w:r>
    </w:p>
    <w:p w14:paraId="62FE5F17">
      <w:pPr>
        <w:pStyle w:val="9"/>
        <w:widowControl w:val="0"/>
        <w:spacing w:before="0" w:after="0" w:line="560" w:lineRule="exact"/>
        <w:ind w:firstLine="708" w:firstLineChars="200"/>
        <w:jc w:val="both"/>
        <w:outlineLvl w:val="9"/>
        <w:rPr>
          <w:rFonts w:ascii="Times New Roman" w:hAnsi="Times New Roman" w:eastAsia="仿宋_GB2312"/>
          <w:b w:val="0"/>
          <w:bCs w:val="0"/>
          <w:color w:val="000000" w:themeColor="text1"/>
          <w:spacing w:val="17"/>
          <w14:textFill>
            <w14:solidFill>
              <w14:schemeClr w14:val="tx1"/>
            </w14:solidFill>
          </w14:textFill>
        </w:rPr>
      </w:pPr>
      <w:r>
        <w:rPr>
          <w:rFonts w:ascii="Times New Roman" w:hAnsi="Times New Roman" w:eastAsia="仿宋_GB2312"/>
          <w:b w:val="0"/>
          <w:bCs w:val="0"/>
          <w:color w:val="000000" w:themeColor="text1"/>
          <w:spacing w:val="17"/>
          <w14:textFill>
            <w14:solidFill>
              <w14:schemeClr w14:val="tx1"/>
            </w14:solidFill>
          </w14:textFill>
        </w:rPr>
        <w:t>具体评价指标体系详情见附件1</w:t>
      </w:r>
    </w:p>
    <w:p w14:paraId="379E2487">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3.绩效评价方法</w:t>
      </w:r>
    </w:p>
    <w:p w14:paraId="04B33703">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绩效评价从项目决策、项目过程、项目产出、项目效益四个维度进行评价。评价对象为项目目标实施情况，评价核心为资金的支出完成情况和项目的产出效益。</w:t>
      </w:r>
    </w:p>
    <w:p w14:paraId="79576183">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本次评价指标中，既有定性指标又有定量指标，各类指标因考核内容不同和客观标准不同存在较大差异，因此核定具体指标时采用了不同方法，具体评价方法如下：</w:t>
      </w:r>
    </w:p>
    <w:p w14:paraId="6C54F043">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 xml:space="preserve">（一）成本效益分析法。是指将投入与产出、效益进行关联性分析的方法。 </w:t>
      </w:r>
    </w:p>
    <w:p w14:paraId="4B655B28">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（二）比较法。是指将实施情况与绩效目标、历史情况、不同部门和地区同类支出情况进行比较的方法。</w:t>
      </w:r>
    </w:p>
    <w:p w14:paraId="7FBB45D3">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（三）因素分析法。是指综合分析影响绩效目标实现、实施效果的内外部因素的方法。</w:t>
      </w:r>
    </w:p>
    <w:p w14:paraId="3A57C076">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（四）最低成本法。是指在绩效目标确定的前提下，成本最小者为优的方法。</w:t>
      </w:r>
    </w:p>
    <w:p w14:paraId="472FAB8C">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（五）公众评判法。是指通过专家评估、公众问卷及抽样调查等方式进行评判的方法。</w:t>
      </w:r>
    </w:p>
    <w:p w14:paraId="2109F798">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（六）标杆管理法。是指以国内外同行业中较高的绩效水平为标杆进行评判的方法。</w:t>
      </w:r>
    </w:p>
    <w:p w14:paraId="3C63F482">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（七）其他评价方法。</w:t>
      </w:r>
    </w:p>
    <w:p w14:paraId="503B470D">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4</w:t>
      </w:r>
      <w:r>
        <w:rPr>
          <w:rFonts w:ascii="Times New Roman" w:hAnsi="Times New Roman" w:eastAsia="仿宋_GB2312"/>
          <w:color w:val="000000" w:themeColor="text1"/>
          <w14:textFill>
            <w14:solidFill>
              <w14:schemeClr w14:val="tx1"/>
            </w14:solidFill>
          </w14:textFill>
        </w:rPr>
        <w:t>.</w:t>
      </w:r>
      <w:r>
        <w:rPr>
          <w:rFonts w:ascii="Times New Roman" w:hAnsi="Times New Roman" w:eastAsia="仿宋_GB2312"/>
          <w:b w:val="0"/>
          <w:bCs w:val="0"/>
          <w:color w:val="000000" w:themeColor="text1"/>
          <w14:textFill>
            <w14:solidFill>
              <w14:schemeClr w14:val="tx1"/>
            </w14:solidFill>
          </w14:textFill>
        </w:rPr>
        <w:t>评价标准</w:t>
      </w:r>
    </w:p>
    <w:p w14:paraId="79B410DF">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color w:val="000000" w:themeColor="text1"/>
          <w14:textFill>
            <w14:solidFill>
              <w14:schemeClr w14:val="tx1"/>
            </w14:solidFill>
          </w14:textFill>
        </w:rPr>
        <w:t>计划</w:t>
      </w:r>
      <w:r>
        <w:rPr>
          <w:rFonts w:ascii="Times New Roman" w:hAnsi="Times New Roman" w:eastAsia="仿宋_GB2312"/>
          <w:b w:val="0"/>
          <w:bCs w:val="0"/>
          <w:color w:val="000000" w:themeColor="text1"/>
          <w14:textFill>
            <w14:solidFill>
              <w14:schemeClr w14:val="tx1"/>
            </w14:solidFill>
          </w14:textFill>
        </w:rPr>
        <w:t>标准。</w:t>
      </w:r>
    </w:p>
    <w:p w14:paraId="2CD9C877">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（1）计划标准。指以预先制定的目标、计划、预算、定额等作为评价标准。</w:t>
      </w:r>
    </w:p>
    <w:p w14:paraId="7583008D">
      <w:pPr>
        <w:pStyle w:val="9"/>
        <w:numPr>
          <w:ilvl w:val="0"/>
          <w:numId w:val="2"/>
        </w:numPr>
        <w:spacing w:before="0" w:after="0" w:line="560" w:lineRule="exact"/>
        <w:ind w:firstLine="711" w:firstLineChars="200"/>
        <w:jc w:val="both"/>
        <w:rPr>
          <w:rFonts w:ascii="Times New Roman" w:hAnsi="Times New Roman" w:eastAsia="楷体"/>
          <w:color w:val="000000" w:themeColor="text1"/>
          <w:spacing w:val="17"/>
          <w14:textFill>
            <w14:solidFill>
              <w14:schemeClr w14:val="tx1"/>
            </w14:solidFill>
          </w14:textFill>
        </w:rPr>
      </w:pPr>
      <w:r>
        <w:rPr>
          <w:rFonts w:ascii="Times New Roman" w:hAnsi="Times New Roman" w:eastAsia="楷体"/>
          <w:color w:val="000000" w:themeColor="text1"/>
          <w:spacing w:val="17"/>
          <w14:textFill>
            <w14:solidFill>
              <w14:schemeClr w14:val="tx1"/>
            </w14:solidFill>
          </w14:textFill>
        </w:rPr>
        <w:t>绩效评价工作过程</w:t>
      </w:r>
    </w:p>
    <w:p w14:paraId="79C923B7">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（1）前期准备与规划</w:t>
      </w:r>
    </w:p>
    <w:p w14:paraId="0CDC3358">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1A1EDBDF">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（2）指标体系构建</w:t>
      </w:r>
    </w:p>
    <w:p w14:paraId="753B9712">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依据项目的性质、目标以及预期成果，构建了科学合理的绩效评价指标体系。该指标体系涵盖了</w:t>
      </w:r>
      <w:r>
        <w:rPr>
          <w:rFonts w:eastAsia="仿宋_GB2312"/>
          <w:color w:val="000000" w:themeColor="text1"/>
          <w:spacing w:val="17"/>
          <w:sz w:val="32"/>
          <w:szCs w:val="32"/>
          <w14:textFill>
            <w14:solidFill>
              <w14:schemeClr w14:val="tx1"/>
            </w14:solidFill>
          </w14:textFill>
        </w:rPr>
        <w:t>项目决策、项目过程、项目产出、项目效益四个维度</w:t>
      </w:r>
      <w:r>
        <w:rPr>
          <w:rFonts w:eastAsia="仿宋_GB2312"/>
          <w:color w:val="000000" w:themeColor="text1"/>
          <w:sz w:val="32"/>
          <w:szCs w:val="32"/>
          <w14:textFill>
            <w14:solidFill>
              <w14:schemeClr w14:val="tx1"/>
            </w14:solidFill>
          </w14:textFill>
        </w:rPr>
        <w:t>，选取了具有代表性和可衡量性的关键指标，并为每个指标设定了明确的评价标准与权重，确保评价结果能够全面、准确地反映项目的绩效状况。</w:t>
      </w:r>
    </w:p>
    <w:p w14:paraId="6640CF04">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（3）数据收集与整理</w:t>
      </w:r>
    </w:p>
    <w:p w14:paraId="299FE707">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0DF2DC8">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（4）数据分析与评估</w:t>
      </w:r>
    </w:p>
    <w:p w14:paraId="6ED9C4EE">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216454F">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（5）报告撰写与反馈</w:t>
      </w:r>
    </w:p>
    <w:p w14:paraId="4C068786">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13AC35C">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（6）后续跟踪与改进</w:t>
      </w:r>
    </w:p>
    <w:p w14:paraId="34BD6F1C">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511839D">
      <w:pPr>
        <w:numPr>
          <w:ilvl w:val="0"/>
          <w:numId w:val="3"/>
        </w:numPr>
        <w:spacing w:line="560" w:lineRule="exact"/>
        <w:ind w:firstLine="640" w:firstLineChars="200"/>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综合评价情况及评价结论（附相关评分表）</w:t>
      </w:r>
    </w:p>
    <w:p w14:paraId="4F029E8D">
      <w:pPr>
        <w:pStyle w:val="9"/>
        <w:spacing w:before="0" w:after="0" w:line="560" w:lineRule="exact"/>
        <w:ind w:firstLine="643" w:firstLineChars="200"/>
        <w:jc w:val="both"/>
        <w:rPr>
          <w:rFonts w:ascii="Times New Roman" w:hAnsi="Times New Roman" w:eastAsia="楷体_GB2312"/>
          <w:color w:val="000000" w:themeColor="text1"/>
          <w14:textFill>
            <w14:solidFill>
              <w14:schemeClr w14:val="tx1"/>
            </w14:solidFill>
          </w14:textFill>
        </w:rPr>
      </w:pPr>
      <w:r>
        <w:rPr>
          <w:rFonts w:ascii="Times New Roman" w:hAnsi="Times New Roman" w:eastAsia="楷体_GB2312"/>
          <w:color w:val="000000" w:themeColor="text1"/>
          <w14:textFill>
            <w14:solidFill>
              <w14:schemeClr w14:val="tx1"/>
            </w14:solidFill>
          </w14:textFill>
        </w:rPr>
        <w:t>（一）评价情况</w:t>
      </w:r>
    </w:p>
    <w:p w14:paraId="07CB12FF">
      <w:pPr>
        <w:pStyle w:val="8"/>
        <w:widowControl/>
        <w:spacing w:beforeAutospacing="0" w:afterAutospacing="0"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本项目的综合评价基于对项目各方面绩效的深入分析与评估。从项目目标的达成情况来看，</w:t>
      </w:r>
      <w:r>
        <w:rPr>
          <w:rFonts w:hint="eastAsia" w:eastAsia="仿宋_GB2312"/>
          <w:color w:val="000000" w:themeColor="text1"/>
          <w:sz w:val="32"/>
          <w:szCs w:val="32"/>
          <w14:textFill>
            <w14:solidFill>
              <w14:schemeClr w14:val="tx1"/>
            </w14:solidFill>
          </w14:textFill>
        </w:rPr>
        <w:t>2024年教育附加安排的支出（取暖费）</w:t>
      </w:r>
      <w:r>
        <w:rPr>
          <w:rFonts w:eastAsia="仿宋_GB2312"/>
          <w:color w:val="000000" w:themeColor="text1"/>
          <w:sz w:val="32"/>
          <w:szCs w:val="32"/>
          <w14:textFill>
            <w14:solidFill>
              <w14:schemeClr w14:val="tx1"/>
            </w14:solidFill>
          </w14:textFill>
        </w:rPr>
        <w:t>在</w:t>
      </w:r>
      <w:r>
        <w:rPr>
          <w:rFonts w:hint="eastAsia" w:eastAsia="仿宋_GB2312"/>
          <w:color w:val="000000" w:themeColor="text1"/>
          <w:sz w:val="32"/>
          <w:szCs w:val="32"/>
          <w14:textFill>
            <w14:solidFill>
              <w14:schemeClr w14:val="tx1"/>
            </w14:solidFill>
          </w14:textFill>
        </w:rPr>
        <w:t>产出指标、成本指标、效益指标、满意度指标</w:t>
      </w:r>
      <w:r>
        <w:rPr>
          <w:rFonts w:eastAsia="仿宋_GB2312"/>
          <w:color w:val="000000" w:themeColor="text1"/>
          <w:sz w:val="32"/>
          <w:szCs w:val="32"/>
          <w14:textFill>
            <w14:solidFill>
              <w14:schemeClr w14:val="tx1"/>
            </w14:solidFill>
          </w14:textFill>
        </w:rPr>
        <w:t>等方面表现出色，达到了预期的标准与要求。同时，项目也在</w:t>
      </w:r>
      <w:r>
        <w:rPr>
          <w:rFonts w:hint="eastAsia" w:eastAsia="仿宋_GB2312"/>
          <w:color w:val="000000" w:themeColor="text1"/>
          <w:sz w:val="32"/>
          <w:szCs w:val="32"/>
          <w14:textFill>
            <w14:solidFill>
              <w14:schemeClr w14:val="tx1"/>
            </w14:solidFill>
          </w14:textFill>
        </w:rPr>
        <w:t>教育</w:t>
      </w:r>
      <w:r>
        <w:rPr>
          <w:rFonts w:eastAsia="仿宋_GB2312"/>
          <w:color w:val="000000" w:themeColor="text1"/>
          <w:sz w:val="32"/>
          <w:szCs w:val="32"/>
          <w14:textFill>
            <w14:solidFill>
              <w14:schemeClr w14:val="tx1"/>
            </w14:solidFill>
          </w14:textFill>
        </w:rPr>
        <w:t>取得了显著的成效，如</w:t>
      </w:r>
      <w:r>
        <w:rPr>
          <w:rFonts w:hint="eastAsia" w:eastAsia="仿宋_GB2312"/>
          <w:color w:val="000000" w:themeColor="text1"/>
          <w:sz w:val="32"/>
          <w:szCs w:val="32"/>
          <w14:textFill>
            <w14:solidFill>
              <w14:schemeClr w14:val="tx1"/>
            </w14:solidFill>
          </w14:textFill>
        </w:rPr>
        <w:t>数量指标、质量指标、时效指标、经济成本指标、社会效益指标、满意度指标</w:t>
      </w:r>
      <w:r>
        <w:rPr>
          <w:rFonts w:eastAsia="仿宋_GB2312"/>
          <w:color w:val="000000" w:themeColor="text1"/>
          <w:sz w:val="32"/>
          <w:szCs w:val="32"/>
          <w14:textFill>
            <w14:solidFill>
              <w14:schemeClr w14:val="tx1"/>
            </w14:solidFill>
          </w14:textFill>
        </w:rPr>
        <w:t>等。</w:t>
      </w:r>
    </w:p>
    <w:p w14:paraId="1F5415D7">
      <w:pPr>
        <w:pStyle w:val="8"/>
        <w:widowControl/>
        <w:spacing w:beforeAutospacing="0" w:afterAutospacing="0"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在项目管理方面，</w:t>
      </w:r>
      <w:r>
        <w:rPr>
          <w:rFonts w:hint="eastAsia" w:eastAsia="仿宋_GB2312"/>
          <w:color w:val="000000" w:themeColor="text1"/>
          <w:sz w:val="32"/>
          <w:szCs w:val="32"/>
          <w14:textFill>
            <w14:solidFill>
              <w14:schemeClr w14:val="tx1"/>
            </w14:solidFill>
          </w14:textFill>
        </w:rPr>
        <w:t>裕民县第一中学</w:t>
      </w:r>
      <w:r>
        <w:rPr>
          <w:rFonts w:eastAsia="仿宋_GB2312"/>
          <w:color w:val="000000" w:themeColor="text1"/>
          <w:sz w:val="32"/>
          <w:szCs w:val="32"/>
          <w14:textFill>
            <w14:solidFill>
              <w14:schemeClr w14:val="tx1"/>
            </w14:solidFill>
          </w14:textFill>
        </w:rPr>
        <w:t>通过有效的规划、组织与协调，项目得以顺利实施，并在预算与时间上保持了良好的控制。</w:t>
      </w:r>
    </w:p>
    <w:p w14:paraId="47FE79AF">
      <w:pPr>
        <w:pStyle w:val="8"/>
        <w:widowControl/>
        <w:spacing w:beforeAutospacing="0" w:afterAutospacing="0"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从项目效益的角度来看，本项目不仅实现了预期的社会效益等方面产生了积极的影响。具体而言，</w:t>
      </w:r>
      <w:r>
        <w:rPr>
          <w:rFonts w:hint="eastAsia" w:eastAsia="仿宋_GB2312"/>
          <w:color w:val="000000" w:themeColor="text1"/>
          <w:sz w:val="32"/>
          <w:szCs w:val="32"/>
          <w14:textFill>
            <w14:solidFill>
              <w14:schemeClr w14:val="tx1"/>
            </w14:solidFill>
          </w14:textFill>
        </w:rPr>
        <w:t>保障学校教育教学正常开展</w:t>
      </w:r>
      <w:r>
        <w:rPr>
          <w:rFonts w:eastAsia="仿宋_GB2312"/>
          <w:color w:val="000000" w:themeColor="text1"/>
          <w:sz w:val="32"/>
          <w:szCs w:val="32"/>
          <w14:textFill>
            <w14:solidFill>
              <w14:schemeClr w14:val="tx1"/>
            </w14:solidFill>
          </w14:textFill>
        </w:rPr>
        <w:t>等方面的提升，为项目的利益相关者带来了实实在在的利益。</w:t>
      </w:r>
    </w:p>
    <w:p w14:paraId="19018903">
      <w:pPr>
        <w:pStyle w:val="8"/>
        <w:widowControl/>
        <w:spacing w:beforeAutospacing="0" w:afterAutospacing="0" w:line="560" w:lineRule="exact"/>
        <w:ind w:firstLine="640" w:firstLineChars="200"/>
        <w:rPr>
          <w:color w:val="000000" w:themeColor="text1"/>
          <w14:textFill>
            <w14:solidFill>
              <w14:schemeClr w14:val="tx1"/>
            </w14:solidFill>
          </w14:textFill>
        </w:rPr>
      </w:pPr>
      <w:r>
        <w:rPr>
          <w:rFonts w:eastAsia="仿宋_GB2312"/>
          <w:color w:val="000000" w:themeColor="text1"/>
          <w:sz w:val="32"/>
          <w:szCs w:val="32"/>
          <w14:textFill>
            <w14:solidFill>
              <w14:schemeClr w14:val="tx1"/>
            </w14:solidFill>
          </w14:textFill>
        </w:rPr>
        <w:t>综上所述，</w:t>
      </w:r>
      <w:r>
        <w:rPr>
          <w:rFonts w:hint="eastAsia" w:eastAsia="仿宋_GB2312"/>
          <w:color w:val="000000" w:themeColor="text1"/>
          <w:sz w:val="32"/>
          <w:szCs w:val="32"/>
          <w14:textFill>
            <w14:solidFill>
              <w14:schemeClr w14:val="tx1"/>
            </w14:solidFill>
          </w14:textFill>
        </w:rPr>
        <w:t>2024年教育附加安排的支出（取暖费）</w:t>
      </w:r>
      <w:r>
        <w:rPr>
          <w:rFonts w:eastAsia="仿宋_GB2312"/>
          <w:color w:val="000000" w:themeColor="text1"/>
          <w:sz w:val="32"/>
          <w:szCs w:val="32"/>
          <w14:textFill>
            <w14:solidFill>
              <w14:schemeClr w14:val="tx1"/>
            </w14:solidFill>
          </w14:textFill>
        </w:rPr>
        <w:t>在绩效评价中表现出色，达到了项目的预期目标，并在多个方面取得了显著的成效。</w:t>
      </w:r>
    </w:p>
    <w:p w14:paraId="7EC587CC">
      <w:pPr>
        <w:pStyle w:val="9"/>
        <w:spacing w:before="0" w:after="0" w:line="560" w:lineRule="exact"/>
        <w:ind w:firstLine="643" w:firstLineChars="200"/>
        <w:jc w:val="both"/>
        <w:rPr>
          <w:rFonts w:ascii="Times New Roman" w:hAnsi="Times New Roman" w:eastAsia="楷体_GB2312"/>
          <w:color w:val="000000" w:themeColor="text1"/>
          <w14:textFill>
            <w14:solidFill>
              <w14:schemeClr w14:val="tx1"/>
            </w14:solidFill>
          </w14:textFill>
        </w:rPr>
      </w:pPr>
      <w:r>
        <w:rPr>
          <w:rFonts w:ascii="Times New Roman" w:hAnsi="Times New Roman" w:eastAsia="楷体_GB2312"/>
          <w:color w:val="000000" w:themeColor="text1"/>
          <w14:textFill>
            <w14:solidFill>
              <w14:schemeClr w14:val="tx1"/>
            </w14:solidFill>
          </w14:textFill>
        </w:rPr>
        <w:t>（二）评价结论</w:t>
      </w:r>
    </w:p>
    <w:p w14:paraId="71DB1613">
      <w:pPr>
        <w:pStyle w:val="9"/>
        <w:widowControl w:val="0"/>
        <w:spacing w:before="0" w:after="0" w:line="560" w:lineRule="exact"/>
        <w:ind w:firstLine="640" w:firstLineChars="200"/>
        <w:jc w:val="both"/>
        <w:outlineLvl w:val="9"/>
        <w:rPr>
          <w:rFonts w:ascii="Times New Roman" w:hAnsi="Times New Roman" w:eastAsia="仿宋_GB2312"/>
          <w:b w:val="0"/>
          <w:bCs w:val="0"/>
          <w:color w:val="000000" w:themeColor="text1"/>
          <w14:textFill>
            <w14:solidFill>
              <w14:schemeClr w14:val="tx1"/>
            </w14:solidFill>
          </w14:textFill>
        </w:rPr>
      </w:pPr>
      <w:r>
        <w:rPr>
          <w:rFonts w:ascii="Times New Roman" w:hAnsi="Times New Roman" w:eastAsia="仿宋_GB2312"/>
          <w:b w:val="0"/>
          <w:bCs w:val="0"/>
          <w:color w:val="000000" w:themeColor="text1"/>
          <w14:textFill>
            <w14:solidFill>
              <w14:schemeClr w14:val="tx1"/>
            </w14:solidFill>
          </w14:textFill>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color w:val="000000" w:themeColor="text1"/>
          <w14:textFill>
            <w14:solidFill>
              <w14:schemeClr w14:val="tx1"/>
            </w14:solidFill>
          </w14:textFill>
        </w:rPr>
        <w:t>100</w:t>
      </w:r>
      <w:r>
        <w:rPr>
          <w:rFonts w:ascii="Times New Roman" w:hAnsi="Times New Roman" w:eastAsia="仿宋_GB2312"/>
          <w:b w:val="0"/>
          <w:bCs w:val="0"/>
          <w:color w:val="000000" w:themeColor="text1"/>
          <w14:textFill>
            <w14:solidFill>
              <w14:schemeClr w14:val="tx1"/>
            </w14:solidFill>
          </w14:textFill>
        </w:rPr>
        <w:t xml:space="preserve">于“优（良/中/差）”。其中，项目决策类指标权重为20分，得分为 </w:t>
      </w:r>
      <w:r>
        <w:rPr>
          <w:rFonts w:hint="eastAsia" w:ascii="Times New Roman" w:hAnsi="Times New Roman" w:eastAsia="仿宋_GB2312"/>
          <w:b w:val="0"/>
          <w:bCs w:val="0"/>
          <w:color w:val="000000" w:themeColor="text1"/>
          <w14:textFill>
            <w14:solidFill>
              <w14:schemeClr w14:val="tx1"/>
            </w14:solidFill>
          </w14:textFill>
        </w:rPr>
        <w:t>20</w:t>
      </w:r>
      <w:r>
        <w:rPr>
          <w:rFonts w:ascii="Times New Roman" w:hAnsi="Times New Roman" w:eastAsia="仿宋_GB2312"/>
          <w:b w:val="0"/>
          <w:bCs w:val="0"/>
          <w:color w:val="000000" w:themeColor="text1"/>
          <w14:textFill>
            <w14:solidFill>
              <w14:schemeClr w14:val="tx1"/>
            </w14:solidFill>
          </w14:textFill>
        </w:rPr>
        <w:t xml:space="preserve">得分率为 </w:t>
      </w:r>
      <w:r>
        <w:rPr>
          <w:rFonts w:hint="eastAsia" w:ascii="Times New Roman" w:hAnsi="Times New Roman" w:eastAsia="仿宋_GB2312"/>
          <w:b w:val="0"/>
          <w:bCs w:val="0"/>
          <w:color w:val="000000" w:themeColor="text1"/>
          <w14:textFill>
            <w14:solidFill>
              <w14:schemeClr w14:val="tx1"/>
            </w14:solidFill>
          </w14:textFill>
        </w:rPr>
        <w:t>100</w:t>
      </w:r>
      <w:r>
        <w:rPr>
          <w:rFonts w:ascii="Times New Roman" w:hAnsi="Times New Roman" w:eastAsia="仿宋_GB2312"/>
          <w:b w:val="0"/>
          <w:bCs w:val="0"/>
          <w:color w:val="000000" w:themeColor="text1"/>
          <w14:textFill>
            <w14:solidFill>
              <w14:schemeClr w14:val="tx1"/>
            </w14:solidFill>
          </w14:textFill>
        </w:rPr>
        <w:t>目过程类指标权重为20分，得分为</w:t>
      </w:r>
      <w:r>
        <w:rPr>
          <w:rFonts w:hint="eastAsia" w:ascii="Times New Roman" w:hAnsi="Times New Roman" w:eastAsia="仿宋_GB2312"/>
          <w:b w:val="0"/>
          <w:bCs w:val="0"/>
          <w:color w:val="000000" w:themeColor="text1"/>
          <w14:textFill>
            <w14:solidFill>
              <w14:schemeClr w14:val="tx1"/>
            </w14:solidFill>
          </w14:textFill>
        </w:rPr>
        <w:t>20</w:t>
      </w:r>
      <w:r>
        <w:rPr>
          <w:rFonts w:ascii="Times New Roman" w:hAnsi="Times New Roman" w:eastAsia="仿宋_GB2312"/>
          <w:b w:val="0"/>
          <w:bCs w:val="0"/>
          <w:color w:val="000000" w:themeColor="text1"/>
          <w14:textFill>
            <w14:solidFill>
              <w14:schemeClr w14:val="tx1"/>
            </w14:solidFill>
          </w14:textFill>
        </w:rPr>
        <w:t xml:space="preserve">得分率为 </w:t>
      </w:r>
      <w:r>
        <w:rPr>
          <w:rFonts w:hint="eastAsia" w:ascii="Times New Roman" w:hAnsi="Times New Roman" w:eastAsia="仿宋_GB2312"/>
          <w:b w:val="0"/>
          <w:bCs w:val="0"/>
          <w:color w:val="000000" w:themeColor="text1"/>
          <w14:textFill>
            <w14:solidFill>
              <w14:schemeClr w14:val="tx1"/>
            </w14:solidFill>
          </w14:textFill>
        </w:rPr>
        <w:t>100</w:t>
      </w:r>
      <w:r>
        <w:rPr>
          <w:rFonts w:ascii="Times New Roman" w:hAnsi="Times New Roman" w:eastAsia="仿宋_GB2312"/>
          <w:b w:val="0"/>
          <w:bCs w:val="0"/>
          <w:color w:val="000000" w:themeColor="text1"/>
          <w14:textFill>
            <w14:solidFill>
              <w14:schemeClr w14:val="tx1"/>
            </w14:solidFill>
          </w14:textFill>
        </w:rPr>
        <w:t>%。项目产出类指标权重为40分，得分为</w:t>
      </w:r>
      <w:r>
        <w:rPr>
          <w:rFonts w:hint="eastAsia" w:ascii="Times New Roman" w:hAnsi="Times New Roman" w:eastAsia="仿宋_GB2312"/>
          <w:b w:val="0"/>
          <w:bCs w:val="0"/>
          <w:color w:val="000000" w:themeColor="text1"/>
          <w14:textFill>
            <w14:solidFill>
              <w14:schemeClr w14:val="tx1"/>
            </w14:solidFill>
          </w14:textFill>
        </w:rPr>
        <w:t>40</w:t>
      </w:r>
      <w:r>
        <w:rPr>
          <w:rFonts w:ascii="Times New Roman" w:hAnsi="Times New Roman" w:eastAsia="仿宋_GB2312"/>
          <w:b w:val="0"/>
          <w:bCs w:val="0"/>
          <w:color w:val="000000" w:themeColor="text1"/>
          <w14:textFill>
            <w14:solidFill>
              <w14:schemeClr w14:val="tx1"/>
            </w14:solidFill>
          </w14:textFill>
        </w:rPr>
        <w:t xml:space="preserve">分，得分率为 </w:t>
      </w:r>
      <w:r>
        <w:rPr>
          <w:rFonts w:hint="eastAsia" w:ascii="Times New Roman" w:hAnsi="Times New Roman" w:eastAsia="仿宋_GB2312"/>
          <w:b w:val="0"/>
          <w:bCs w:val="0"/>
          <w:color w:val="000000" w:themeColor="text1"/>
          <w14:textFill>
            <w14:solidFill>
              <w14:schemeClr w14:val="tx1"/>
            </w14:solidFill>
          </w14:textFill>
        </w:rPr>
        <w:t>100</w:t>
      </w:r>
      <w:r>
        <w:rPr>
          <w:rFonts w:ascii="Times New Roman" w:hAnsi="Times New Roman" w:eastAsia="仿宋_GB2312"/>
          <w:b w:val="0"/>
          <w:bCs w:val="0"/>
          <w:color w:val="000000" w:themeColor="text1"/>
          <w14:textFill>
            <w14:solidFill>
              <w14:schemeClr w14:val="tx1"/>
            </w14:solidFill>
          </w14:textFill>
        </w:rPr>
        <w:t>%。项目效益类指标权重为20分，得分为</w:t>
      </w:r>
      <w:r>
        <w:rPr>
          <w:rFonts w:hint="eastAsia" w:ascii="Times New Roman" w:hAnsi="Times New Roman" w:eastAsia="仿宋_GB2312"/>
          <w:b w:val="0"/>
          <w:bCs w:val="0"/>
          <w:color w:val="000000" w:themeColor="text1"/>
          <w14:textFill>
            <w14:solidFill>
              <w14:schemeClr w14:val="tx1"/>
            </w14:solidFill>
          </w14:textFill>
        </w:rPr>
        <w:t>20</w:t>
      </w:r>
      <w:r>
        <w:rPr>
          <w:rFonts w:ascii="Times New Roman" w:hAnsi="Times New Roman" w:eastAsia="仿宋_GB2312"/>
          <w:b w:val="0"/>
          <w:bCs w:val="0"/>
          <w:color w:val="000000" w:themeColor="text1"/>
          <w14:textFill>
            <w14:solidFill>
              <w14:schemeClr w14:val="tx1"/>
            </w14:solidFill>
          </w14:textFill>
        </w:rPr>
        <w:t>分，得分率为</w:t>
      </w:r>
      <w:r>
        <w:rPr>
          <w:rFonts w:hint="eastAsia" w:ascii="Times New Roman" w:hAnsi="Times New Roman" w:eastAsia="仿宋_GB2312"/>
          <w:b w:val="0"/>
          <w:bCs w:val="0"/>
          <w:color w:val="000000" w:themeColor="text1"/>
          <w14:textFill>
            <w14:solidFill>
              <w14:schemeClr w14:val="tx1"/>
            </w14:solidFill>
          </w14:textFill>
        </w:rPr>
        <w:t>100</w:t>
      </w:r>
      <w:r>
        <w:rPr>
          <w:rFonts w:ascii="Times New Roman" w:hAnsi="Times New Roman" w:eastAsia="仿宋_GB2312"/>
          <w:b w:val="0"/>
          <w:bCs w:val="0"/>
          <w:color w:val="000000" w:themeColor="text1"/>
          <w14:textFill>
            <w14:solidFill>
              <w14:schemeClr w14:val="tx1"/>
            </w14:solidFill>
          </w14:textFill>
        </w:rPr>
        <w:t>%。具体打分情况详见：附件1综合评分表。</w:t>
      </w:r>
    </w:p>
    <w:p w14:paraId="5CA92EF5">
      <w:pPr>
        <w:pStyle w:val="9"/>
        <w:spacing w:before="0" w:after="0"/>
        <w:rPr>
          <w:rFonts w:ascii="Times New Roman" w:hAnsi="Times New Roman" w:eastAsia="仿宋_GB2312"/>
          <w:color w:val="000000" w:themeColor="text1"/>
          <w:sz w:val="21"/>
          <w:szCs w:val="21"/>
          <w14:textFill>
            <w14:solidFill>
              <w14:schemeClr w14:val="tx1"/>
            </w14:solidFill>
          </w14:textFill>
        </w:rPr>
      </w:pPr>
      <w:r>
        <w:rPr>
          <w:rFonts w:ascii="Times New Roman" w:hAnsi="Times New Roman" w:eastAsia="仿宋_GB2312"/>
          <w:color w:val="000000" w:themeColor="text1"/>
          <w:sz w:val="21"/>
          <w:szCs w:val="21"/>
          <w14:textFill>
            <w14:solidFill>
              <w14:schemeClr w14:val="tx1"/>
            </w14:solidFill>
          </w14:textFill>
        </w:rPr>
        <w:t>表1综合评分表</w:t>
      </w:r>
    </w:p>
    <w:tbl>
      <w:tblPr>
        <w:tblStyle w:val="12"/>
        <w:tblW w:w="8760" w:type="dxa"/>
        <w:jc w:val="center"/>
        <w:tblLayout w:type="fixed"/>
        <w:tblCellMar>
          <w:top w:w="0" w:type="dxa"/>
          <w:left w:w="108" w:type="dxa"/>
          <w:bottom w:w="0" w:type="dxa"/>
          <w:right w:w="108" w:type="dxa"/>
        </w:tblCellMar>
      </w:tblPr>
      <w:tblGrid>
        <w:gridCol w:w="2786"/>
        <w:gridCol w:w="1926"/>
        <w:gridCol w:w="2024"/>
        <w:gridCol w:w="2024"/>
      </w:tblGrid>
      <w:tr w14:paraId="0FBD5E84">
        <w:tblPrEx>
          <w:tblCellMar>
            <w:top w:w="0" w:type="dxa"/>
            <w:left w:w="108" w:type="dxa"/>
            <w:bottom w:w="0" w:type="dxa"/>
            <w:right w:w="108" w:type="dxa"/>
          </w:tblCellMar>
        </w:tblPrEx>
        <w:trPr>
          <w:trHeight w:val="90" w:hRule="atLeast"/>
          <w:tblHeader/>
          <w:jc w:val="center"/>
        </w:trPr>
        <w:tc>
          <w:tcPr>
            <w:tcW w:w="2786" w:type="dxa"/>
            <w:tcBorders>
              <w:top w:val="single" w:color="auto" w:sz="4" w:space="0"/>
              <w:left w:val="single" w:color="auto" w:sz="4" w:space="0"/>
              <w:bottom w:val="single" w:color="auto" w:sz="4" w:space="0"/>
              <w:right w:val="single" w:color="auto" w:sz="4" w:space="0"/>
            </w:tcBorders>
            <w:shd w:val="clear" w:color="000000" w:fill="BEBEBE"/>
            <w:vAlign w:val="center"/>
          </w:tcPr>
          <w:p w14:paraId="2CE445E1">
            <w:pPr>
              <w:jc w:val="center"/>
              <w:rPr>
                <w:rFonts w:eastAsia="仿宋_GB2312"/>
                <w:b/>
                <w:bCs/>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一级指标</w:t>
            </w:r>
          </w:p>
        </w:tc>
        <w:tc>
          <w:tcPr>
            <w:tcW w:w="1926" w:type="dxa"/>
            <w:tcBorders>
              <w:top w:val="single" w:color="auto" w:sz="4" w:space="0"/>
              <w:left w:val="nil"/>
              <w:bottom w:val="single" w:color="auto" w:sz="4" w:space="0"/>
              <w:right w:val="single" w:color="auto" w:sz="4" w:space="0"/>
            </w:tcBorders>
            <w:shd w:val="clear" w:color="000000" w:fill="BEBEBE"/>
            <w:vAlign w:val="center"/>
          </w:tcPr>
          <w:p w14:paraId="25876515">
            <w:pPr>
              <w:jc w:val="center"/>
              <w:rPr>
                <w:rFonts w:eastAsia="仿宋_GB2312"/>
                <w:b/>
                <w:bCs/>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权重分</w:t>
            </w:r>
          </w:p>
        </w:tc>
        <w:tc>
          <w:tcPr>
            <w:tcW w:w="2024" w:type="dxa"/>
            <w:tcBorders>
              <w:top w:val="single" w:color="auto" w:sz="4" w:space="0"/>
              <w:left w:val="nil"/>
              <w:bottom w:val="single" w:color="auto" w:sz="4" w:space="0"/>
              <w:right w:val="single" w:color="auto" w:sz="4" w:space="0"/>
            </w:tcBorders>
            <w:shd w:val="clear" w:color="000000" w:fill="BEBEBE"/>
            <w:vAlign w:val="center"/>
          </w:tcPr>
          <w:p w14:paraId="0CCDD11F">
            <w:pPr>
              <w:jc w:val="center"/>
              <w:rPr>
                <w:rFonts w:eastAsia="仿宋_GB2312"/>
                <w:b/>
                <w:bCs/>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得分</w:t>
            </w:r>
          </w:p>
        </w:tc>
        <w:tc>
          <w:tcPr>
            <w:tcW w:w="2024" w:type="dxa"/>
            <w:tcBorders>
              <w:top w:val="single" w:color="auto" w:sz="4" w:space="0"/>
              <w:left w:val="nil"/>
              <w:bottom w:val="single" w:color="auto" w:sz="4" w:space="0"/>
              <w:right w:val="single" w:color="auto" w:sz="4" w:space="0"/>
            </w:tcBorders>
            <w:shd w:val="clear" w:color="000000" w:fill="BEBEBE"/>
            <w:vAlign w:val="center"/>
          </w:tcPr>
          <w:p w14:paraId="7D6BAD61">
            <w:pPr>
              <w:jc w:val="center"/>
              <w:rPr>
                <w:rFonts w:eastAsia="仿宋_GB2312"/>
                <w:b/>
                <w:bCs/>
                <w:color w:val="000000" w:themeColor="text1"/>
                <w:szCs w:val="21"/>
                <w14:textFill>
                  <w14:solidFill>
                    <w14:schemeClr w14:val="tx1"/>
                  </w14:solidFill>
                </w14:textFill>
              </w:rPr>
            </w:pPr>
            <w:r>
              <w:rPr>
                <w:rFonts w:hint="eastAsia" w:eastAsia="仿宋_GB2312"/>
                <w:b/>
                <w:bCs/>
                <w:color w:val="000000" w:themeColor="text1"/>
                <w:szCs w:val="21"/>
                <w14:textFill>
                  <w14:solidFill>
                    <w14:schemeClr w14:val="tx1"/>
                  </w14:solidFill>
                </w14:textFill>
              </w:rPr>
              <w:t>得分率</w:t>
            </w:r>
          </w:p>
        </w:tc>
      </w:tr>
      <w:tr w14:paraId="19F9DB2A">
        <w:tblPrEx>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14:paraId="63B0EBD3">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项目决策</w:t>
            </w:r>
          </w:p>
        </w:tc>
        <w:tc>
          <w:tcPr>
            <w:tcW w:w="1926" w:type="dxa"/>
            <w:tcBorders>
              <w:top w:val="nil"/>
              <w:left w:val="nil"/>
              <w:bottom w:val="single" w:color="auto" w:sz="4" w:space="0"/>
              <w:right w:val="single" w:color="auto" w:sz="4" w:space="0"/>
            </w:tcBorders>
            <w:shd w:val="clear" w:color="auto" w:fill="auto"/>
            <w:vAlign w:val="center"/>
          </w:tcPr>
          <w:p w14:paraId="1B395B56">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20</w:t>
            </w:r>
          </w:p>
        </w:tc>
        <w:tc>
          <w:tcPr>
            <w:tcW w:w="2024" w:type="dxa"/>
            <w:tcBorders>
              <w:top w:val="nil"/>
              <w:left w:val="nil"/>
              <w:bottom w:val="single" w:color="auto" w:sz="4" w:space="0"/>
              <w:right w:val="single" w:color="auto" w:sz="4" w:space="0"/>
            </w:tcBorders>
            <w:shd w:val="clear" w:color="auto" w:fill="auto"/>
            <w:vAlign w:val="center"/>
          </w:tcPr>
          <w:p w14:paraId="5C5B563B">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20</w:t>
            </w:r>
          </w:p>
        </w:tc>
        <w:tc>
          <w:tcPr>
            <w:tcW w:w="2024" w:type="dxa"/>
            <w:tcBorders>
              <w:top w:val="nil"/>
              <w:left w:val="nil"/>
              <w:bottom w:val="single" w:color="auto" w:sz="4" w:space="0"/>
              <w:right w:val="single" w:color="auto" w:sz="4" w:space="0"/>
            </w:tcBorders>
            <w:shd w:val="clear" w:color="auto" w:fill="auto"/>
            <w:vAlign w:val="center"/>
          </w:tcPr>
          <w:p w14:paraId="3A661050">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100%</w:t>
            </w:r>
          </w:p>
        </w:tc>
      </w:tr>
      <w:tr w14:paraId="7E6CEC8E">
        <w:tblPrEx>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14:paraId="32962370">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项目过程</w:t>
            </w:r>
          </w:p>
        </w:tc>
        <w:tc>
          <w:tcPr>
            <w:tcW w:w="1926" w:type="dxa"/>
            <w:tcBorders>
              <w:top w:val="nil"/>
              <w:left w:val="nil"/>
              <w:bottom w:val="single" w:color="auto" w:sz="4" w:space="0"/>
              <w:right w:val="single" w:color="auto" w:sz="4" w:space="0"/>
            </w:tcBorders>
            <w:shd w:val="clear" w:color="auto" w:fill="auto"/>
            <w:vAlign w:val="center"/>
          </w:tcPr>
          <w:p w14:paraId="67FD9573">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20</w:t>
            </w:r>
          </w:p>
        </w:tc>
        <w:tc>
          <w:tcPr>
            <w:tcW w:w="2024" w:type="dxa"/>
            <w:tcBorders>
              <w:top w:val="nil"/>
              <w:left w:val="nil"/>
              <w:bottom w:val="single" w:color="auto" w:sz="4" w:space="0"/>
              <w:right w:val="single" w:color="auto" w:sz="4" w:space="0"/>
            </w:tcBorders>
            <w:shd w:val="clear" w:color="auto" w:fill="auto"/>
            <w:vAlign w:val="center"/>
          </w:tcPr>
          <w:p w14:paraId="3BBB876F">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20</w:t>
            </w:r>
          </w:p>
        </w:tc>
        <w:tc>
          <w:tcPr>
            <w:tcW w:w="2024" w:type="dxa"/>
            <w:tcBorders>
              <w:top w:val="nil"/>
              <w:left w:val="nil"/>
              <w:bottom w:val="single" w:color="auto" w:sz="4" w:space="0"/>
              <w:right w:val="single" w:color="auto" w:sz="4" w:space="0"/>
            </w:tcBorders>
            <w:shd w:val="clear" w:color="auto" w:fill="auto"/>
            <w:vAlign w:val="center"/>
          </w:tcPr>
          <w:p w14:paraId="1FF4945E">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100%</w:t>
            </w:r>
          </w:p>
        </w:tc>
      </w:tr>
      <w:tr w14:paraId="384675A9">
        <w:tblPrEx>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14:paraId="2537F7BA">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项目产出</w:t>
            </w:r>
          </w:p>
        </w:tc>
        <w:tc>
          <w:tcPr>
            <w:tcW w:w="1926" w:type="dxa"/>
            <w:tcBorders>
              <w:top w:val="nil"/>
              <w:left w:val="nil"/>
              <w:bottom w:val="single" w:color="auto" w:sz="4" w:space="0"/>
              <w:right w:val="single" w:color="auto" w:sz="4" w:space="0"/>
            </w:tcBorders>
            <w:shd w:val="clear" w:color="auto" w:fill="auto"/>
            <w:vAlign w:val="center"/>
          </w:tcPr>
          <w:p w14:paraId="12C06FCC">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40</w:t>
            </w:r>
          </w:p>
        </w:tc>
        <w:tc>
          <w:tcPr>
            <w:tcW w:w="2024" w:type="dxa"/>
            <w:tcBorders>
              <w:top w:val="nil"/>
              <w:left w:val="nil"/>
              <w:bottom w:val="single" w:color="auto" w:sz="4" w:space="0"/>
              <w:right w:val="single" w:color="auto" w:sz="4" w:space="0"/>
            </w:tcBorders>
            <w:shd w:val="clear" w:color="auto" w:fill="auto"/>
            <w:vAlign w:val="center"/>
          </w:tcPr>
          <w:p w14:paraId="4452F919">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20</w:t>
            </w:r>
          </w:p>
        </w:tc>
        <w:tc>
          <w:tcPr>
            <w:tcW w:w="2024" w:type="dxa"/>
            <w:tcBorders>
              <w:top w:val="nil"/>
              <w:left w:val="nil"/>
              <w:bottom w:val="single" w:color="auto" w:sz="4" w:space="0"/>
              <w:right w:val="single" w:color="auto" w:sz="4" w:space="0"/>
            </w:tcBorders>
            <w:shd w:val="clear" w:color="auto" w:fill="auto"/>
            <w:vAlign w:val="center"/>
          </w:tcPr>
          <w:p w14:paraId="40EDDF90">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100%</w:t>
            </w:r>
          </w:p>
        </w:tc>
      </w:tr>
      <w:tr w14:paraId="06ED0FD3">
        <w:tblPrEx>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14:paraId="7A076B03">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项目效益</w:t>
            </w:r>
          </w:p>
        </w:tc>
        <w:tc>
          <w:tcPr>
            <w:tcW w:w="1926" w:type="dxa"/>
            <w:tcBorders>
              <w:top w:val="nil"/>
              <w:left w:val="nil"/>
              <w:bottom w:val="single" w:color="auto" w:sz="4" w:space="0"/>
              <w:right w:val="single" w:color="auto" w:sz="4" w:space="0"/>
            </w:tcBorders>
            <w:shd w:val="clear" w:color="auto" w:fill="auto"/>
            <w:vAlign w:val="center"/>
          </w:tcPr>
          <w:p w14:paraId="4BD298C6">
            <w:pPr>
              <w:jc w:val="center"/>
              <w:rPr>
                <w:rFonts w:eastAsia="仿宋_GB2312"/>
                <w:color w:val="000000" w:themeColor="text1"/>
                <w:szCs w:val="21"/>
                <w14:textFill>
                  <w14:solidFill>
                    <w14:schemeClr w14:val="tx1"/>
                  </w14:solidFill>
                </w14:textFill>
              </w:rPr>
            </w:pPr>
            <w:r>
              <w:rPr>
                <w:rFonts w:eastAsia="仿宋_GB2312"/>
                <w:color w:val="000000" w:themeColor="text1"/>
                <w:szCs w:val="21"/>
                <w14:textFill>
                  <w14:solidFill>
                    <w14:schemeClr w14:val="tx1"/>
                  </w14:solidFill>
                </w14:textFill>
              </w:rPr>
              <w:t>20</w:t>
            </w:r>
          </w:p>
        </w:tc>
        <w:tc>
          <w:tcPr>
            <w:tcW w:w="2024" w:type="dxa"/>
            <w:tcBorders>
              <w:top w:val="nil"/>
              <w:left w:val="nil"/>
              <w:bottom w:val="single" w:color="auto" w:sz="4" w:space="0"/>
              <w:right w:val="single" w:color="auto" w:sz="4" w:space="0"/>
            </w:tcBorders>
            <w:shd w:val="clear" w:color="auto" w:fill="auto"/>
            <w:vAlign w:val="center"/>
          </w:tcPr>
          <w:p w14:paraId="31B4D270">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20</w:t>
            </w:r>
          </w:p>
        </w:tc>
        <w:tc>
          <w:tcPr>
            <w:tcW w:w="2024" w:type="dxa"/>
            <w:tcBorders>
              <w:top w:val="nil"/>
              <w:left w:val="nil"/>
              <w:bottom w:val="single" w:color="auto" w:sz="4" w:space="0"/>
              <w:right w:val="single" w:color="auto" w:sz="4" w:space="0"/>
            </w:tcBorders>
            <w:shd w:val="clear" w:color="auto" w:fill="auto"/>
            <w:vAlign w:val="center"/>
          </w:tcPr>
          <w:p w14:paraId="7D2A34E6">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100%</w:t>
            </w:r>
          </w:p>
        </w:tc>
      </w:tr>
      <w:tr w14:paraId="73E1A334">
        <w:tblPrEx>
          <w:tblCellMar>
            <w:top w:w="0" w:type="dxa"/>
            <w:left w:w="108" w:type="dxa"/>
            <w:bottom w:w="0" w:type="dxa"/>
            <w:right w:w="108" w:type="dxa"/>
          </w:tblCellMar>
        </w:tblPrEx>
        <w:trPr>
          <w:trHeight w:val="340" w:hRule="atLeast"/>
          <w:jc w:val="center"/>
        </w:trPr>
        <w:tc>
          <w:tcPr>
            <w:tcW w:w="2786" w:type="dxa"/>
            <w:tcBorders>
              <w:top w:val="nil"/>
              <w:left w:val="single" w:color="auto" w:sz="4" w:space="0"/>
              <w:bottom w:val="single" w:color="auto" w:sz="4" w:space="0"/>
              <w:right w:val="single" w:color="auto" w:sz="4" w:space="0"/>
            </w:tcBorders>
            <w:shd w:val="clear" w:color="auto" w:fill="auto"/>
            <w:vAlign w:val="center"/>
          </w:tcPr>
          <w:p w14:paraId="52BF82D2">
            <w:pPr>
              <w:jc w:val="center"/>
              <w:rPr>
                <w:rFonts w:eastAsia="仿宋_GB2312"/>
                <w:b/>
                <w:bCs/>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合计</w:t>
            </w:r>
          </w:p>
        </w:tc>
        <w:tc>
          <w:tcPr>
            <w:tcW w:w="1926" w:type="dxa"/>
            <w:tcBorders>
              <w:top w:val="nil"/>
              <w:left w:val="nil"/>
              <w:bottom w:val="single" w:color="auto" w:sz="4" w:space="0"/>
              <w:right w:val="single" w:color="auto" w:sz="4" w:space="0"/>
            </w:tcBorders>
            <w:shd w:val="clear" w:color="auto" w:fill="auto"/>
            <w:vAlign w:val="center"/>
          </w:tcPr>
          <w:p w14:paraId="43409A46">
            <w:pPr>
              <w:jc w:val="center"/>
              <w:rPr>
                <w:rFonts w:eastAsia="仿宋_GB2312"/>
                <w:b/>
                <w:bCs/>
                <w:color w:val="000000" w:themeColor="text1"/>
                <w:szCs w:val="21"/>
                <w14:textFill>
                  <w14:solidFill>
                    <w14:schemeClr w14:val="tx1"/>
                  </w14:solidFill>
                </w14:textFill>
              </w:rPr>
            </w:pPr>
            <w:r>
              <w:rPr>
                <w:rFonts w:eastAsia="仿宋_GB2312"/>
                <w:b/>
                <w:bCs/>
                <w:color w:val="000000" w:themeColor="text1"/>
                <w:szCs w:val="21"/>
                <w14:textFill>
                  <w14:solidFill>
                    <w14:schemeClr w14:val="tx1"/>
                  </w14:solidFill>
                </w14:textFill>
              </w:rPr>
              <w:t>100</w:t>
            </w:r>
          </w:p>
        </w:tc>
        <w:tc>
          <w:tcPr>
            <w:tcW w:w="2024" w:type="dxa"/>
            <w:tcBorders>
              <w:top w:val="nil"/>
              <w:left w:val="nil"/>
              <w:bottom w:val="single" w:color="auto" w:sz="4" w:space="0"/>
              <w:right w:val="single" w:color="auto" w:sz="4" w:space="0"/>
            </w:tcBorders>
            <w:shd w:val="clear" w:color="auto" w:fill="auto"/>
            <w:vAlign w:val="center"/>
          </w:tcPr>
          <w:p w14:paraId="1643D8CB">
            <w:pPr>
              <w:jc w:val="center"/>
              <w:rPr>
                <w:rFonts w:eastAsia="仿宋_GB2312"/>
                <w:b/>
                <w:bCs/>
                <w:color w:val="000000" w:themeColor="text1"/>
                <w:szCs w:val="21"/>
                <w14:textFill>
                  <w14:solidFill>
                    <w14:schemeClr w14:val="tx1"/>
                  </w14:solidFill>
                </w14:textFill>
              </w:rPr>
            </w:pPr>
            <w:r>
              <w:rPr>
                <w:rFonts w:hint="eastAsia" w:eastAsia="仿宋_GB2312"/>
                <w:b/>
                <w:bCs/>
                <w:color w:val="000000" w:themeColor="text1"/>
                <w:szCs w:val="21"/>
                <w14:textFill>
                  <w14:solidFill>
                    <w14:schemeClr w14:val="tx1"/>
                  </w14:solidFill>
                </w14:textFill>
              </w:rPr>
              <w:t>100</w:t>
            </w:r>
          </w:p>
        </w:tc>
        <w:tc>
          <w:tcPr>
            <w:tcW w:w="2024" w:type="dxa"/>
            <w:tcBorders>
              <w:top w:val="nil"/>
              <w:left w:val="nil"/>
              <w:bottom w:val="single" w:color="auto" w:sz="4" w:space="0"/>
              <w:right w:val="single" w:color="auto" w:sz="4" w:space="0"/>
            </w:tcBorders>
            <w:shd w:val="clear" w:color="auto" w:fill="auto"/>
            <w:vAlign w:val="center"/>
          </w:tcPr>
          <w:p w14:paraId="1095CE36">
            <w:pPr>
              <w:jc w:val="center"/>
              <w:rPr>
                <w:rFonts w:eastAsia="仿宋_GB2312"/>
                <w:b/>
                <w:bCs/>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100%</w:t>
            </w:r>
          </w:p>
        </w:tc>
      </w:tr>
    </w:tbl>
    <w:p w14:paraId="0471E1B1">
      <w:pPr>
        <w:spacing w:line="560" w:lineRule="exact"/>
        <w:ind w:firstLine="640" w:firstLineChars="200"/>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四、绩效评价指标分析</w:t>
      </w:r>
    </w:p>
    <w:p w14:paraId="7826C366">
      <w:pPr>
        <w:pStyle w:val="9"/>
        <w:spacing w:before="0" w:after="0" w:line="560" w:lineRule="exact"/>
        <w:ind w:firstLine="643" w:firstLineChars="200"/>
        <w:jc w:val="both"/>
        <w:rPr>
          <w:rFonts w:ascii="Times New Roman" w:hAnsi="Times New Roman" w:eastAsia="楷体_GB2312"/>
          <w:color w:val="000000" w:themeColor="text1"/>
          <w14:textFill>
            <w14:solidFill>
              <w14:schemeClr w14:val="tx1"/>
            </w14:solidFill>
          </w14:textFill>
        </w:rPr>
      </w:pPr>
      <w:r>
        <w:rPr>
          <w:rFonts w:ascii="Times New Roman" w:hAnsi="Times New Roman" w:eastAsia="楷体_GB2312"/>
          <w:color w:val="000000" w:themeColor="text1"/>
          <w14:textFill>
            <w14:solidFill>
              <w14:schemeClr w14:val="tx1"/>
            </w14:solidFill>
          </w14:textFill>
        </w:rPr>
        <w:t>（一）项目决策情况</w:t>
      </w:r>
    </w:p>
    <w:p w14:paraId="5F16E4DD">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项目决策类指标包括项目立项、绩效目标和资金投入三方面的内容，由6个三级指标构成，权重分值为20分，实际得分</w:t>
      </w:r>
      <w:r>
        <w:rPr>
          <w:rFonts w:hint="eastAsia" w:eastAsia="仿宋_GB2312"/>
          <w:color w:val="000000" w:themeColor="text1"/>
          <w:sz w:val="32"/>
          <w:szCs w:val="32"/>
          <w14:textFill>
            <w14:solidFill>
              <w14:schemeClr w14:val="tx1"/>
            </w14:solidFill>
          </w14:textFill>
        </w:rPr>
        <w:t>20</w:t>
      </w:r>
      <w:r>
        <w:rPr>
          <w:rFonts w:eastAsia="仿宋_GB2312"/>
          <w:color w:val="000000" w:themeColor="text1"/>
          <w:sz w:val="32"/>
          <w:szCs w:val="32"/>
          <w14:textFill>
            <w14:solidFill>
              <w14:schemeClr w14:val="tx1"/>
            </w14:solidFill>
          </w14:textFill>
        </w:rPr>
        <w:t>分，得分率为</w:t>
      </w:r>
      <w:r>
        <w:rPr>
          <w:rFonts w:hint="eastAsia" w:eastAsia="仿宋_GB2312"/>
          <w:color w:val="000000" w:themeColor="text1"/>
          <w:sz w:val="32"/>
          <w:szCs w:val="32"/>
          <w14:textFill>
            <w14:solidFill>
              <w14:schemeClr w14:val="tx1"/>
            </w14:solidFill>
          </w14:textFill>
        </w:rPr>
        <w:t>100</w:t>
      </w:r>
      <w:r>
        <w:rPr>
          <w:rFonts w:eastAsia="仿宋_GB2312"/>
          <w:color w:val="000000" w:themeColor="text1"/>
          <w:sz w:val="32"/>
          <w:szCs w:val="32"/>
          <w14:textFill>
            <w14:solidFill>
              <w14:schemeClr w14:val="tx1"/>
            </w14:solidFill>
          </w14:textFill>
        </w:rPr>
        <w:t>%。</w:t>
      </w:r>
    </w:p>
    <w:p w14:paraId="15A0E4EF">
      <w:pPr>
        <w:pStyle w:val="21"/>
        <w:spacing w:line="560" w:lineRule="exact"/>
        <w:ind w:firstLine="64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1.项目立项</w:t>
      </w:r>
    </w:p>
    <w:p w14:paraId="57282996">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（1）立项依据充分性</w:t>
      </w:r>
    </w:p>
    <w:p w14:paraId="50B0A911">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A9E548F">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（2）立项程序规范性</w:t>
      </w:r>
    </w:p>
    <w:p w14:paraId="22A09925">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736BDE9">
      <w:pPr>
        <w:pStyle w:val="21"/>
        <w:spacing w:line="560" w:lineRule="exact"/>
        <w:ind w:firstLine="64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2.绩效目标</w:t>
      </w:r>
    </w:p>
    <w:p w14:paraId="2DEB10CE">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（1）绩效目标合理性</w:t>
      </w:r>
    </w:p>
    <w:p w14:paraId="13879048">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6FB5F90">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（2）绩效指标明确性</w:t>
      </w:r>
    </w:p>
    <w:p w14:paraId="6A1D2887">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项目设置了明确的预期产出效益和效果，将绩效目标细化分解为具体的绩效指标，绩效目标与项目目标任务数相对应，绩效目标设定的绩效指标清晰、细化、可衡量。</w:t>
      </w:r>
    </w:p>
    <w:p w14:paraId="2B3C9E1B">
      <w:pPr>
        <w:pStyle w:val="21"/>
        <w:spacing w:line="560" w:lineRule="exact"/>
        <w:ind w:firstLine="64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3.资金投入</w:t>
      </w:r>
    </w:p>
    <w:p w14:paraId="062C9333">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（1）预算编制科学性</w:t>
      </w:r>
    </w:p>
    <w:p w14:paraId="0F62649E">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4482A6A">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9796C27">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（2）资金分配合理性</w:t>
      </w:r>
    </w:p>
    <w:p w14:paraId="3D9BDCB6">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04DAAF0">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E27D718">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55FBE036">
      <w:pPr>
        <w:pStyle w:val="9"/>
        <w:numPr>
          <w:ilvl w:val="0"/>
          <w:numId w:val="4"/>
        </w:numPr>
        <w:spacing w:before="0" w:after="0" w:line="560" w:lineRule="exact"/>
        <w:ind w:firstLine="643" w:firstLineChars="200"/>
        <w:jc w:val="both"/>
        <w:rPr>
          <w:rFonts w:ascii="Times New Roman" w:hAnsi="Times New Roman" w:eastAsia="楷体"/>
          <w:color w:val="000000" w:themeColor="text1"/>
          <w14:textFill>
            <w14:solidFill>
              <w14:schemeClr w14:val="tx1"/>
            </w14:solidFill>
          </w14:textFill>
        </w:rPr>
      </w:pPr>
      <w:r>
        <w:rPr>
          <w:rFonts w:ascii="Times New Roman" w:hAnsi="Times New Roman" w:eastAsia="楷体"/>
          <w:color w:val="000000" w:themeColor="text1"/>
          <w14:textFill>
            <w14:solidFill>
              <w14:schemeClr w14:val="tx1"/>
            </w14:solidFill>
          </w14:textFill>
        </w:rPr>
        <w:t>项目过程情况</w:t>
      </w:r>
    </w:p>
    <w:p w14:paraId="289DEA4E">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项目过程类指标包括资金管理和组织实施两方面的内容，由5个三级指标构成，权重分值为20分，实际得分</w:t>
      </w:r>
      <w:r>
        <w:rPr>
          <w:rFonts w:hint="eastAsia" w:eastAsia="仿宋_GB2312"/>
          <w:color w:val="000000" w:themeColor="text1"/>
          <w:sz w:val="32"/>
          <w:szCs w:val="32"/>
          <w14:textFill>
            <w14:solidFill>
              <w14:schemeClr w14:val="tx1"/>
            </w14:solidFill>
          </w14:textFill>
        </w:rPr>
        <w:t>20</w:t>
      </w:r>
      <w:r>
        <w:rPr>
          <w:rFonts w:eastAsia="仿宋_GB2312"/>
          <w:color w:val="000000" w:themeColor="text1"/>
          <w:sz w:val="32"/>
          <w:szCs w:val="32"/>
          <w14:textFill>
            <w14:solidFill>
              <w14:schemeClr w14:val="tx1"/>
            </w14:solidFill>
          </w14:textFill>
        </w:rPr>
        <w:t>分，得分率为</w:t>
      </w:r>
      <w:r>
        <w:rPr>
          <w:rFonts w:hint="eastAsia" w:eastAsia="仿宋_GB2312"/>
          <w:color w:val="000000" w:themeColor="text1"/>
          <w:sz w:val="32"/>
          <w:szCs w:val="32"/>
          <w14:textFill>
            <w14:solidFill>
              <w14:schemeClr w14:val="tx1"/>
            </w14:solidFill>
          </w14:textFill>
        </w:rPr>
        <w:t>100</w:t>
      </w:r>
      <w:r>
        <w:rPr>
          <w:rFonts w:eastAsia="仿宋_GB2312"/>
          <w:color w:val="000000" w:themeColor="text1"/>
          <w:sz w:val="32"/>
          <w:szCs w:val="32"/>
          <w14:textFill>
            <w14:solidFill>
              <w14:schemeClr w14:val="tx1"/>
            </w14:solidFill>
          </w14:textFill>
        </w:rPr>
        <w:t>%。</w:t>
      </w:r>
    </w:p>
    <w:p w14:paraId="53E1D67B">
      <w:pPr>
        <w:pStyle w:val="21"/>
        <w:spacing w:line="560" w:lineRule="exact"/>
        <w:ind w:firstLine="64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1.资金管理</w:t>
      </w:r>
    </w:p>
    <w:p w14:paraId="3B1E461E">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（1）资金到位率</w:t>
      </w:r>
    </w:p>
    <w:p w14:paraId="7AF294EE">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本项目总投资</w:t>
      </w:r>
      <w:r>
        <w:rPr>
          <w:rFonts w:hint="eastAsia" w:eastAsia="仿宋_GB2312"/>
          <w:color w:val="000000" w:themeColor="text1"/>
          <w:sz w:val="32"/>
          <w:szCs w:val="32"/>
          <w14:textFill>
            <w14:solidFill>
              <w14:schemeClr w14:val="tx1"/>
            </w14:solidFill>
          </w14:textFill>
        </w:rPr>
        <w:t>58.42</w:t>
      </w:r>
      <w:r>
        <w:rPr>
          <w:rFonts w:eastAsia="仿宋_GB2312"/>
          <w:color w:val="000000" w:themeColor="text1"/>
          <w:sz w:val="32"/>
          <w:szCs w:val="32"/>
          <w14:textFill>
            <w14:solidFill>
              <w14:schemeClr w14:val="tx1"/>
            </w14:solidFill>
          </w14:textFill>
        </w:rPr>
        <w:t>万元，财政资金及时足额到位，到位率</w:t>
      </w:r>
      <w:r>
        <w:rPr>
          <w:rFonts w:hint="eastAsia" w:eastAsia="仿宋_GB2312"/>
          <w:color w:val="000000" w:themeColor="text1"/>
          <w:sz w:val="32"/>
          <w:szCs w:val="32"/>
          <w14:textFill>
            <w14:solidFill>
              <w14:schemeClr w14:val="tx1"/>
            </w14:solidFill>
          </w14:textFill>
        </w:rPr>
        <w:t>100</w:t>
      </w:r>
      <w:r>
        <w:rPr>
          <w:rFonts w:eastAsia="仿宋_GB2312"/>
          <w:color w:val="000000" w:themeColor="text1"/>
          <w:sz w:val="32"/>
          <w:szCs w:val="32"/>
          <w14:textFill>
            <w14:solidFill>
              <w14:schemeClr w14:val="tx1"/>
            </w14:solidFill>
          </w14:textFill>
        </w:rPr>
        <w:t>%，预算资金按计划进度执行。</w:t>
      </w:r>
    </w:p>
    <w:p w14:paraId="14DD5436">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（2）预算执行率</w:t>
      </w:r>
    </w:p>
    <w:p w14:paraId="4D66AA4A">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预算编制较为详细，项目资金支出总体能够按照预算执行，预算资金支出</w:t>
      </w:r>
      <w:r>
        <w:rPr>
          <w:rFonts w:hint="eastAsia" w:eastAsia="仿宋_GB2312"/>
          <w:color w:val="000000" w:themeColor="text1"/>
          <w:sz w:val="32"/>
          <w:szCs w:val="32"/>
          <w14:textFill>
            <w14:solidFill>
              <w14:schemeClr w14:val="tx1"/>
            </w14:solidFill>
          </w14:textFill>
        </w:rPr>
        <w:t>58.42</w:t>
      </w:r>
      <w:r>
        <w:rPr>
          <w:rFonts w:eastAsia="仿宋_GB2312"/>
          <w:color w:val="000000" w:themeColor="text1"/>
          <w:sz w:val="32"/>
          <w:szCs w:val="32"/>
          <w14:textFill>
            <w14:solidFill>
              <w14:schemeClr w14:val="tx1"/>
            </w14:solidFill>
          </w14:textFill>
        </w:rPr>
        <w:t>万元，预算执行率为</w:t>
      </w:r>
      <w:r>
        <w:rPr>
          <w:rFonts w:hint="eastAsia" w:eastAsia="仿宋_GB2312"/>
          <w:color w:val="000000" w:themeColor="text1"/>
          <w:sz w:val="32"/>
          <w:szCs w:val="32"/>
          <w14:textFill>
            <w14:solidFill>
              <w14:schemeClr w14:val="tx1"/>
            </w14:solidFill>
          </w14:textFill>
        </w:rPr>
        <w:t>100</w:t>
      </w:r>
      <w:r>
        <w:rPr>
          <w:rFonts w:eastAsia="仿宋_GB2312"/>
          <w:color w:val="000000" w:themeColor="text1"/>
          <w:sz w:val="32"/>
          <w:szCs w:val="32"/>
          <w14:textFill>
            <w14:solidFill>
              <w14:schemeClr w14:val="tx1"/>
            </w14:solidFill>
          </w14:textFill>
        </w:rPr>
        <w:t>%。</w:t>
      </w:r>
    </w:p>
    <w:p w14:paraId="22BCCB44">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（3）资金使用合规性</w:t>
      </w:r>
    </w:p>
    <w:p w14:paraId="693E6D36">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本项目的资金使用严格遵循了国家相关法律法规与财务制度，确保了资金的合规性与安全性。在资金使用过程中，我们建立了完善的财务管理体系，对资金的流动进行了全程监控与记录。</w:t>
      </w:r>
    </w:p>
    <w:p w14:paraId="18CB36AF">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3D7626A">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4980F81">
      <w:pPr>
        <w:pStyle w:val="21"/>
        <w:spacing w:line="560" w:lineRule="exact"/>
        <w:ind w:firstLine="640"/>
        <w:rPr>
          <w:rFonts w:eastAsia="仿宋_GB2312"/>
          <w:b/>
          <w:bCs/>
          <w:color w:val="000000" w:themeColor="text1"/>
          <w:sz w:val="32"/>
          <w:szCs w:val="32"/>
          <w14:textFill>
            <w14:solidFill>
              <w14:schemeClr w14:val="tx1"/>
            </w14:solidFill>
          </w14:textFill>
        </w:rPr>
      </w:pPr>
      <w:r>
        <w:rPr>
          <w:rFonts w:eastAsia="仿宋_GB2312"/>
          <w:b/>
          <w:bCs/>
          <w:color w:val="000000" w:themeColor="text1"/>
          <w:sz w:val="32"/>
          <w:szCs w:val="32"/>
          <w14:textFill>
            <w14:solidFill>
              <w14:schemeClr w14:val="tx1"/>
            </w14:solidFill>
          </w14:textFill>
        </w:rPr>
        <w:t>2.组织实施</w:t>
      </w:r>
    </w:p>
    <w:p w14:paraId="0BC7BC9F">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（1）管理制度健全性</w:t>
      </w:r>
    </w:p>
    <w:p w14:paraId="6E1AA49B">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本项目拥有一套完善、健全的管理制度体系，为项目的成功实施提供了坚实的制度保障。项目管理制度的制定紧密结合了项目的特点与实际情况，涵盖了项目的策划、组织、实施、监控与收尾等各个环节。</w:t>
      </w:r>
    </w:p>
    <w:p w14:paraId="5AD28D6E">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在制度设计上，我们注重了制度的科学性与可操作性，确保制度能够切实指导项目的执行与管理。</w:t>
      </w:r>
    </w:p>
    <w:p w14:paraId="30134CF0">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4C5B3C4">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综上所述，本项目的管理制度是健全的、有效的，既符合项目的实际情况，又满足了项目管理的需要。管理制度的健全性为项目的成功实施提供了有力的保障，也为项目的绩效评价奠定了坚实的基础。</w:t>
      </w:r>
    </w:p>
    <w:p w14:paraId="7369FAA6">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（2）制度执行有效性</w:t>
      </w:r>
    </w:p>
    <w:p w14:paraId="7FF203C8">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6877A26B">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在具体执行过程中，项目团队成员严格按照制度要求进行操作。同时，我们还建立了有效的沟通机制与反馈机制，确保项目信息的及时传递与问题的及时解决，进一步提高了制度执行的效率与效果。</w:t>
      </w:r>
    </w:p>
    <w:p w14:paraId="693C64B5">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综上所述，本项目的管理制度在执行过程中表现出了高度的有效性，既确保了项目的顺利进行，又实现了项目目标的有效达成。</w:t>
      </w:r>
    </w:p>
    <w:p w14:paraId="40EBE937">
      <w:pPr>
        <w:pStyle w:val="10"/>
        <w:numPr>
          <w:ilvl w:val="0"/>
          <w:numId w:val="4"/>
        </w:numPr>
        <w:spacing w:line="560" w:lineRule="exact"/>
        <w:ind w:firstLine="643"/>
        <w:rPr>
          <w:rFonts w:eastAsia="楷体_GB2312"/>
          <w:b/>
          <w:bCs/>
          <w:color w:val="000000" w:themeColor="text1"/>
          <w:sz w:val="32"/>
          <w:szCs w:val="32"/>
          <w14:textFill>
            <w14:solidFill>
              <w14:schemeClr w14:val="tx1"/>
            </w14:solidFill>
          </w14:textFill>
        </w:rPr>
      </w:pPr>
      <w:r>
        <w:rPr>
          <w:rFonts w:eastAsia="楷体_GB2312"/>
          <w:b/>
          <w:bCs/>
          <w:color w:val="000000" w:themeColor="text1"/>
          <w:sz w:val="32"/>
          <w:szCs w:val="32"/>
          <w14:textFill>
            <w14:solidFill>
              <w14:schemeClr w14:val="tx1"/>
            </w14:solidFill>
          </w14:textFill>
        </w:rPr>
        <w:t>项目产出情况</w:t>
      </w:r>
    </w:p>
    <w:p w14:paraId="14DA98C7">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项目产出类指标包括产出数量、产出质量、产出时效、产出成本四方面的内容，由</w:t>
      </w:r>
      <w:r>
        <w:rPr>
          <w:rFonts w:hint="eastAsia" w:eastAsia="仿宋_GB2312"/>
          <w:color w:val="000000" w:themeColor="text1"/>
          <w:sz w:val="32"/>
          <w:szCs w:val="32"/>
          <w14:textFill>
            <w14:solidFill>
              <w14:schemeClr w14:val="tx1"/>
            </w14:solidFill>
          </w14:textFill>
        </w:rPr>
        <w:t>6</w:t>
      </w:r>
      <w:r>
        <w:rPr>
          <w:rFonts w:eastAsia="仿宋_GB2312"/>
          <w:color w:val="000000" w:themeColor="text1"/>
          <w:sz w:val="32"/>
          <w:szCs w:val="32"/>
          <w14:textFill>
            <w14:solidFill>
              <w14:schemeClr w14:val="tx1"/>
            </w14:solidFill>
          </w14:textFill>
        </w:rPr>
        <w:t>个三级指标构成，权重分为40分，实际得分</w:t>
      </w:r>
      <w:r>
        <w:rPr>
          <w:rFonts w:hint="eastAsia" w:eastAsia="仿宋_GB2312"/>
          <w:color w:val="000000" w:themeColor="text1"/>
          <w:sz w:val="32"/>
          <w:szCs w:val="32"/>
          <w14:textFill>
            <w14:solidFill>
              <w14:schemeClr w14:val="tx1"/>
            </w14:solidFill>
          </w14:textFill>
        </w:rPr>
        <w:t>40</w:t>
      </w:r>
      <w:r>
        <w:rPr>
          <w:rFonts w:eastAsia="仿宋_GB2312"/>
          <w:color w:val="000000" w:themeColor="text1"/>
          <w:sz w:val="32"/>
          <w:szCs w:val="32"/>
          <w14:textFill>
            <w14:solidFill>
              <w14:schemeClr w14:val="tx1"/>
            </w14:solidFill>
          </w14:textFill>
        </w:rPr>
        <w:t>分，得分率为</w:t>
      </w:r>
      <w:r>
        <w:rPr>
          <w:rFonts w:hint="eastAsia" w:eastAsia="仿宋_GB2312"/>
          <w:color w:val="000000" w:themeColor="text1"/>
          <w:sz w:val="32"/>
          <w:szCs w:val="32"/>
          <w14:textFill>
            <w14:solidFill>
              <w14:schemeClr w14:val="tx1"/>
            </w14:solidFill>
          </w14:textFill>
        </w:rPr>
        <w:t>100</w:t>
      </w:r>
      <w:r>
        <w:rPr>
          <w:rFonts w:eastAsia="仿宋_GB2312"/>
          <w:color w:val="000000" w:themeColor="text1"/>
          <w:sz w:val="32"/>
          <w:szCs w:val="32"/>
          <w14:textFill>
            <w14:solidFill>
              <w14:schemeClr w14:val="tx1"/>
            </w14:solidFill>
          </w14:textFill>
        </w:rPr>
        <w:t>%。具体产出指标完成情况如下：</w:t>
      </w:r>
    </w:p>
    <w:p w14:paraId="63CE2C86">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①数量指标</w:t>
      </w:r>
    </w:p>
    <w:p w14:paraId="5FF78F14">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“在校生人数”指标，预期指标值为=714人，</w:t>
      </w:r>
      <w:r>
        <w:rPr>
          <w:rFonts w:eastAsia="仿宋_GB2312"/>
          <w:sz w:val="32"/>
          <w:szCs w:val="32"/>
        </w:rPr>
        <w:t>实际完成值</w:t>
      </w:r>
      <w:r>
        <w:rPr>
          <w:rFonts w:hint="eastAsia" w:eastAsia="仿宋_GB2312"/>
          <w:sz w:val="32"/>
          <w:szCs w:val="32"/>
        </w:rPr>
        <w:t>：714人</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color w:val="000000" w:themeColor="text1"/>
          <w:sz w:val="32"/>
          <w:szCs w:val="32"/>
          <w14:textFill>
            <w14:solidFill>
              <w14:schemeClr w14:val="tx1"/>
            </w14:solidFill>
          </w14:textFill>
        </w:rPr>
        <w:t>；</w:t>
      </w:r>
    </w:p>
    <w:p w14:paraId="169B9E4E">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 xml:space="preserve"> “公用取暖费面积”指标，预期指标值为=19875.36平方米，</w:t>
      </w:r>
      <w:r>
        <w:rPr>
          <w:rFonts w:eastAsia="仿宋_GB2312"/>
          <w:sz w:val="32"/>
          <w:szCs w:val="32"/>
        </w:rPr>
        <w:t>实际完成值</w:t>
      </w:r>
      <w:r>
        <w:rPr>
          <w:rFonts w:hint="eastAsia" w:eastAsia="仿宋_GB2312"/>
          <w:sz w:val="32"/>
          <w:szCs w:val="32"/>
        </w:rPr>
        <w:t>：19875.36平方米</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color w:val="000000" w:themeColor="text1"/>
          <w:sz w:val="32"/>
          <w:szCs w:val="32"/>
          <w14:textFill>
            <w14:solidFill>
              <w14:schemeClr w14:val="tx1"/>
            </w14:solidFill>
          </w14:textFill>
        </w:rPr>
        <w:t>；</w:t>
      </w:r>
    </w:p>
    <w:p w14:paraId="658B4CC7">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②质量指标</w:t>
      </w:r>
    </w:p>
    <w:p w14:paraId="283C9BBD">
      <w:pPr>
        <w:pStyle w:val="2"/>
        <w:ind w:firstLine="640"/>
        <w:rPr>
          <w:rFonts w:eastAsia="仿宋_GB2312"/>
          <w:b w:val="0"/>
          <w:color w:val="000000" w:themeColor="text1"/>
          <w:sz w:val="32"/>
          <w:szCs w:val="32"/>
          <w14:textFill>
            <w14:solidFill>
              <w14:schemeClr w14:val="tx1"/>
            </w14:solidFill>
          </w14:textFill>
        </w:rPr>
      </w:pPr>
      <w:r>
        <w:rPr>
          <w:rFonts w:hint="eastAsia" w:ascii="Times New Roman" w:hAnsi="Times New Roman" w:eastAsia="仿宋_GB2312"/>
          <w:b w:val="0"/>
          <w:bCs w:val="0"/>
          <w:color w:val="000000" w:themeColor="text1"/>
          <w:kern w:val="2"/>
          <w:sz w:val="32"/>
          <w:szCs w:val="32"/>
          <w14:textFill>
            <w14:solidFill>
              <w14:schemeClr w14:val="tx1"/>
            </w14:solidFill>
          </w14:textFill>
        </w:rPr>
        <w:t>“校园取暖面积覆盖率”指标，预期值为=100%，</w:t>
      </w:r>
      <w:r>
        <w:rPr>
          <w:rFonts w:eastAsia="仿宋_GB2312"/>
          <w:b w:val="0"/>
          <w:sz w:val="32"/>
          <w:szCs w:val="32"/>
        </w:rPr>
        <w:t>实际完成值</w:t>
      </w:r>
      <w:r>
        <w:rPr>
          <w:rFonts w:hint="eastAsia" w:eastAsia="仿宋_GB2312"/>
          <w:b w:val="0"/>
          <w:sz w:val="32"/>
          <w:szCs w:val="32"/>
        </w:rPr>
        <w:t>：100%</w:t>
      </w:r>
      <w:r>
        <w:rPr>
          <w:rFonts w:eastAsia="仿宋_GB2312"/>
          <w:b w:val="0"/>
          <w:sz w:val="32"/>
          <w:szCs w:val="32"/>
        </w:rPr>
        <w:t>，指标完成率</w:t>
      </w:r>
      <w:r>
        <w:rPr>
          <w:rFonts w:hint="eastAsia" w:eastAsia="仿宋_GB2312"/>
          <w:b w:val="0"/>
          <w:sz w:val="32"/>
          <w:szCs w:val="32"/>
        </w:rPr>
        <w:t>100</w:t>
      </w:r>
      <w:r>
        <w:rPr>
          <w:rFonts w:eastAsia="仿宋_GB2312"/>
          <w:b w:val="0"/>
          <w:sz w:val="32"/>
          <w:szCs w:val="32"/>
        </w:rPr>
        <w:t xml:space="preserve"> %</w:t>
      </w:r>
      <w:r>
        <w:rPr>
          <w:rFonts w:hint="eastAsia" w:ascii="Times New Roman" w:hAnsi="Times New Roman" w:eastAsia="仿宋_GB2312"/>
          <w:b w:val="0"/>
          <w:bCs w:val="0"/>
          <w:color w:val="000000" w:themeColor="text1"/>
          <w:kern w:val="2"/>
          <w:sz w:val="32"/>
          <w:szCs w:val="32"/>
          <w14:textFill>
            <w14:solidFill>
              <w14:schemeClr w14:val="tx1"/>
            </w14:solidFill>
          </w14:textFill>
        </w:rPr>
        <w:t>；</w:t>
      </w:r>
    </w:p>
    <w:p w14:paraId="62BFB35F">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③时效指标</w:t>
      </w:r>
    </w:p>
    <w:p w14:paraId="2F0FB011">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“项目完成时间”指标，预期值=2024年12月25日前；</w:t>
      </w:r>
      <w:r>
        <w:rPr>
          <w:rFonts w:eastAsia="仿宋_GB2312"/>
          <w:sz w:val="32"/>
          <w:szCs w:val="32"/>
        </w:rPr>
        <w:t>实际完成值</w:t>
      </w:r>
      <w:r>
        <w:rPr>
          <w:rFonts w:hint="eastAsia" w:eastAsia="仿宋_GB2312"/>
          <w:sz w:val="32"/>
          <w:szCs w:val="32"/>
        </w:rPr>
        <w:t>：</w:t>
      </w:r>
      <w:r>
        <w:rPr>
          <w:rFonts w:eastAsia="仿宋_GB2312"/>
          <w:sz w:val="32"/>
          <w:szCs w:val="32"/>
        </w:rPr>
        <w:t xml:space="preserve"> </w:t>
      </w:r>
      <w:r>
        <w:rPr>
          <w:rFonts w:hint="eastAsia" w:eastAsia="仿宋_GB2312"/>
          <w:sz w:val="32"/>
          <w:szCs w:val="32"/>
        </w:rPr>
        <w:t>2024年12月25前</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p>
    <w:p w14:paraId="62A953F9">
      <w:pPr>
        <w:spacing w:line="600" w:lineRule="exact"/>
        <w:ind w:firstLine="640"/>
        <w:rPr>
          <w:color w:val="000000" w:themeColor="text1"/>
          <w14:textFill>
            <w14:solidFill>
              <w14:schemeClr w14:val="tx1"/>
            </w14:solidFill>
          </w14:textFill>
        </w:rPr>
      </w:pPr>
      <w:r>
        <w:rPr>
          <w:rFonts w:hint="eastAsia" w:eastAsia="仿宋_GB2312"/>
          <w:color w:val="000000" w:themeColor="text1"/>
          <w:sz w:val="32"/>
          <w:szCs w:val="32"/>
          <w14:textFill>
            <w14:solidFill>
              <w14:schemeClr w14:val="tx1"/>
            </w14:solidFill>
          </w14:textFill>
        </w:rPr>
        <w:t>“资金支付及时率”指标，预期值=100%，</w:t>
      </w:r>
      <w:r>
        <w:rPr>
          <w:rFonts w:eastAsia="仿宋_GB2312"/>
          <w:sz w:val="32"/>
          <w:szCs w:val="32"/>
        </w:rPr>
        <w:t>实际完成值</w:t>
      </w:r>
      <w:r>
        <w:rPr>
          <w:rFonts w:hint="eastAsia" w:eastAsia="仿宋_GB2312"/>
          <w:sz w:val="32"/>
          <w:szCs w:val="32"/>
        </w:rPr>
        <w:t>：</w:t>
      </w:r>
      <w:r>
        <w:rPr>
          <w:rFonts w:eastAsia="仿宋_GB2312"/>
          <w:sz w:val="32"/>
          <w:szCs w:val="32"/>
        </w:rPr>
        <w:t xml:space="preserve"> </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color w:val="000000" w:themeColor="text1"/>
          <w:sz w:val="32"/>
          <w:szCs w:val="32"/>
          <w14:textFill>
            <w14:solidFill>
              <w14:schemeClr w14:val="tx1"/>
            </w14:solidFill>
          </w14:textFill>
        </w:rPr>
        <w:t>；</w:t>
      </w:r>
    </w:p>
    <w:p w14:paraId="4B32C613">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（2）项目成本指标</w:t>
      </w:r>
    </w:p>
    <w:p w14:paraId="1584C8D8">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经济成本指标</w:t>
      </w:r>
    </w:p>
    <w:p w14:paraId="323A1EE2">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“公用取暖费资金”指标，预期值=29.4元/平方米，</w:t>
      </w:r>
      <w:r>
        <w:rPr>
          <w:rFonts w:eastAsia="仿宋_GB2312"/>
          <w:sz w:val="32"/>
          <w:szCs w:val="32"/>
        </w:rPr>
        <w:t>实际完成值</w:t>
      </w:r>
      <w:r>
        <w:rPr>
          <w:rFonts w:hint="eastAsia" w:eastAsia="仿宋_GB2312"/>
          <w:sz w:val="32"/>
          <w:szCs w:val="32"/>
        </w:rPr>
        <w:t>：</w:t>
      </w:r>
      <w:r>
        <w:rPr>
          <w:rFonts w:eastAsia="仿宋_GB2312"/>
          <w:sz w:val="32"/>
          <w:szCs w:val="32"/>
        </w:rPr>
        <w:t xml:space="preserve"> </w:t>
      </w:r>
      <w:r>
        <w:rPr>
          <w:rFonts w:hint="eastAsia" w:eastAsia="仿宋_GB2312"/>
          <w:sz w:val="32"/>
          <w:szCs w:val="32"/>
        </w:rPr>
        <w:t>29.4元/平方米</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color w:val="000000" w:themeColor="text1"/>
          <w:sz w:val="32"/>
          <w:szCs w:val="32"/>
          <w14:textFill>
            <w14:solidFill>
              <w14:schemeClr w14:val="tx1"/>
            </w14:solidFill>
          </w14:textFill>
        </w:rPr>
        <w:t>；</w:t>
      </w:r>
    </w:p>
    <w:p w14:paraId="572F085E">
      <w:pPr>
        <w:pStyle w:val="10"/>
        <w:numPr>
          <w:ilvl w:val="0"/>
          <w:numId w:val="4"/>
        </w:numPr>
        <w:spacing w:line="560" w:lineRule="exact"/>
        <w:ind w:firstLine="643"/>
        <w:rPr>
          <w:rFonts w:eastAsia="楷体_GB2312"/>
          <w:b/>
          <w:bCs/>
          <w:color w:val="000000" w:themeColor="text1"/>
          <w:sz w:val="32"/>
          <w:szCs w:val="32"/>
          <w14:textFill>
            <w14:solidFill>
              <w14:schemeClr w14:val="tx1"/>
            </w14:solidFill>
          </w14:textFill>
        </w:rPr>
      </w:pPr>
      <w:r>
        <w:rPr>
          <w:rFonts w:eastAsia="楷体_GB2312"/>
          <w:b/>
          <w:bCs/>
          <w:color w:val="000000" w:themeColor="text1"/>
          <w:sz w:val="32"/>
          <w:szCs w:val="32"/>
          <w14:textFill>
            <w14:solidFill>
              <w14:schemeClr w14:val="tx1"/>
            </w14:solidFill>
          </w14:textFill>
        </w:rPr>
        <w:t>项目效益情况</w:t>
      </w:r>
    </w:p>
    <w:p w14:paraId="79F849AF">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项目效益类指标包括项目实施效益和满意度两方面的内容，由</w:t>
      </w:r>
      <w:r>
        <w:rPr>
          <w:rFonts w:hint="eastAsia" w:eastAsia="仿宋_GB2312"/>
          <w:color w:val="000000" w:themeColor="text1"/>
          <w:sz w:val="32"/>
          <w:szCs w:val="32"/>
          <w14:textFill>
            <w14:solidFill>
              <w14:schemeClr w14:val="tx1"/>
            </w14:solidFill>
          </w14:textFill>
        </w:rPr>
        <w:t>2</w:t>
      </w:r>
      <w:r>
        <w:rPr>
          <w:rFonts w:eastAsia="仿宋_GB2312"/>
          <w:color w:val="000000" w:themeColor="text1"/>
          <w:sz w:val="32"/>
          <w:szCs w:val="32"/>
          <w14:textFill>
            <w14:solidFill>
              <w14:schemeClr w14:val="tx1"/>
            </w14:solidFill>
          </w14:textFill>
        </w:rPr>
        <w:t>个三级指标构成，权重分为20分，实际得分</w:t>
      </w:r>
      <w:r>
        <w:rPr>
          <w:rFonts w:hint="eastAsia" w:eastAsia="仿宋_GB2312"/>
          <w:color w:val="000000" w:themeColor="text1"/>
          <w:sz w:val="32"/>
          <w:szCs w:val="32"/>
          <w14:textFill>
            <w14:solidFill>
              <w14:schemeClr w14:val="tx1"/>
            </w14:solidFill>
          </w14:textFill>
        </w:rPr>
        <w:t>20</w:t>
      </w:r>
      <w:r>
        <w:rPr>
          <w:rFonts w:eastAsia="仿宋_GB2312"/>
          <w:color w:val="000000" w:themeColor="text1"/>
          <w:sz w:val="32"/>
          <w:szCs w:val="32"/>
          <w14:textFill>
            <w14:solidFill>
              <w14:schemeClr w14:val="tx1"/>
            </w14:solidFill>
          </w14:textFill>
        </w:rPr>
        <w:t>分，得分率为</w:t>
      </w:r>
      <w:r>
        <w:rPr>
          <w:rFonts w:hint="eastAsia" w:eastAsia="仿宋_GB2312"/>
          <w:color w:val="000000" w:themeColor="text1"/>
          <w:sz w:val="32"/>
          <w:szCs w:val="32"/>
          <w14:textFill>
            <w14:solidFill>
              <w14:schemeClr w14:val="tx1"/>
            </w14:solidFill>
          </w14:textFill>
        </w:rPr>
        <w:t>100</w:t>
      </w:r>
      <w:r>
        <w:rPr>
          <w:rFonts w:eastAsia="仿宋_GB2312"/>
          <w:color w:val="000000" w:themeColor="text1"/>
          <w:sz w:val="32"/>
          <w:szCs w:val="32"/>
          <w14:textFill>
            <w14:solidFill>
              <w14:schemeClr w14:val="tx1"/>
            </w14:solidFill>
          </w14:textFill>
        </w:rPr>
        <w:t>%。具体效益指标及满意度指标完成情况如下：</w:t>
      </w:r>
    </w:p>
    <w:p w14:paraId="23E8DA12">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1.实施效益②社会效益指标：</w:t>
      </w:r>
    </w:p>
    <w:p w14:paraId="1BF6A015">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 xml:space="preserve"> 保障学校教育教学正常开展”指标，预期值，有效保障，</w:t>
      </w:r>
      <w:r>
        <w:rPr>
          <w:rFonts w:eastAsia="仿宋_GB2312"/>
          <w:sz w:val="32"/>
          <w:szCs w:val="32"/>
        </w:rPr>
        <w:t>实际完成值</w:t>
      </w:r>
      <w:r>
        <w:rPr>
          <w:rFonts w:hint="eastAsia" w:eastAsia="仿宋_GB2312"/>
          <w:sz w:val="32"/>
          <w:szCs w:val="32"/>
        </w:rPr>
        <w:t>：达成年度指标</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color w:val="000000" w:themeColor="text1"/>
          <w:sz w:val="32"/>
          <w:szCs w:val="32"/>
          <w14:textFill>
            <w14:solidFill>
              <w14:schemeClr w14:val="tx1"/>
            </w14:solidFill>
          </w14:textFill>
        </w:rPr>
        <w:t>；</w:t>
      </w:r>
    </w:p>
    <w:p w14:paraId="25A1854A">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2.满意度</w:t>
      </w:r>
    </w:p>
    <w:p w14:paraId="740D3DD7">
      <w:pPr>
        <w:spacing w:line="600" w:lineRule="exact"/>
        <w:ind w:firstLine="64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“学生满意度‘’指标预期指标值为=95%，</w:t>
      </w:r>
      <w:r>
        <w:rPr>
          <w:rFonts w:eastAsia="仿宋_GB2312"/>
          <w:sz w:val="32"/>
          <w:szCs w:val="32"/>
        </w:rPr>
        <w:t>实际完成值</w:t>
      </w:r>
      <w:r>
        <w:rPr>
          <w:rFonts w:hint="eastAsia" w:eastAsia="仿宋_GB2312"/>
          <w:sz w:val="32"/>
          <w:szCs w:val="32"/>
        </w:rPr>
        <w:t>：</w:t>
      </w:r>
      <w:r>
        <w:rPr>
          <w:rFonts w:eastAsia="仿宋_GB2312"/>
          <w:sz w:val="32"/>
          <w:szCs w:val="32"/>
        </w:rPr>
        <w:t xml:space="preserve"> </w:t>
      </w:r>
      <w:r>
        <w:rPr>
          <w:rFonts w:hint="eastAsia" w:eastAsia="仿宋_GB2312"/>
          <w:sz w:val="32"/>
          <w:szCs w:val="32"/>
        </w:rPr>
        <w:t>95%</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color w:val="000000" w:themeColor="text1"/>
          <w:sz w:val="32"/>
          <w:szCs w:val="32"/>
          <w14:textFill>
            <w14:solidFill>
              <w14:schemeClr w14:val="tx1"/>
            </w14:solidFill>
          </w14:textFill>
        </w:rPr>
        <w:t>；</w:t>
      </w:r>
    </w:p>
    <w:p w14:paraId="59C0AE39">
      <w:pPr>
        <w:spacing w:line="560" w:lineRule="exact"/>
        <w:ind w:firstLine="643" w:firstLineChars="200"/>
        <w:rPr>
          <w:rFonts w:eastAsia="楷体_GB2312"/>
          <w:b/>
          <w:bCs/>
          <w:color w:val="000000" w:themeColor="text1"/>
          <w:sz w:val="32"/>
          <w:szCs w:val="32"/>
          <w14:textFill>
            <w14:solidFill>
              <w14:schemeClr w14:val="tx1"/>
            </w14:solidFill>
          </w14:textFill>
        </w:rPr>
      </w:pPr>
      <w:r>
        <w:rPr>
          <w:rFonts w:eastAsia="楷体_GB2312"/>
          <w:b/>
          <w:bCs/>
          <w:color w:val="000000" w:themeColor="text1"/>
          <w:sz w:val="32"/>
          <w:szCs w:val="32"/>
          <w14:textFill>
            <w14:solidFill>
              <w14:schemeClr w14:val="tx1"/>
            </w14:solidFill>
          </w14:textFill>
        </w:rPr>
        <w:t>（五）预算执行进度与绩效指标总体完成率偏差</w:t>
      </w:r>
    </w:p>
    <w:p w14:paraId="3D5352E9">
      <w:pPr>
        <w:pStyle w:val="21"/>
        <w:spacing w:line="560" w:lineRule="exact"/>
        <w:ind w:firstLine="640"/>
        <w:rPr>
          <w:rFonts w:eastAsia="仿宋_GB2312"/>
          <w:color w:val="000000" w:themeColor="text1"/>
          <w:kern w:val="2"/>
          <w:sz w:val="32"/>
          <w:szCs w:val="32"/>
          <w14:textFill>
            <w14:solidFill>
              <w14:schemeClr w14:val="tx1"/>
            </w14:solidFill>
          </w14:textFill>
        </w:rPr>
      </w:pPr>
      <w:r>
        <w:rPr>
          <w:rFonts w:hint="eastAsia" w:eastAsia="仿宋_GB2312"/>
          <w:color w:val="000000" w:themeColor="text1"/>
          <w:kern w:val="2"/>
          <w:sz w:val="32"/>
          <w:szCs w:val="32"/>
          <w14:textFill>
            <w14:solidFill>
              <w14:schemeClr w14:val="tx1"/>
            </w14:solidFill>
          </w14:textFill>
        </w:rPr>
        <w:t>2024年高中助学金</w:t>
      </w:r>
      <w:r>
        <w:rPr>
          <w:rFonts w:eastAsia="仿宋_GB2312"/>
          <w:color w:val="000000" w:themeColor="text1"/>
          <w:kern w:val="2"/>
          <w:sz w:val="32"/>
          <w:szCs w:val="32"/>
          <w14:textFill>
            <w14:solidFill>
              <w14:schemeClr w14:val="tx1"/>
            </w14:solidFill>
          </w14:textFill>
        </w:rPr>
        <w:t>项目年初预算</w:t>
      </w:r>
      <w:r>
        <w:rPr>
          <w:rFonts w:hint="eastAsia" w:eastAsia="仿宋_GB2312"/>
          <w:color w:val="000000" w:themeColor="text1"/>
          <w:kern w:val="2"/>
          <w:sz w:val="32"/>
          <w:szCs w:val="32"/>
          <w14:textFill>
            <w14:solidFill>
              <w14:schemeClr w14:val="tx1"/>
            </w14:solidFill>
          </w14:textFill>
        </w:rPr>
        <w:t>58.42</w:t>
      </w:r>
      <w:r>
        <w:rPr>
          <w:rFonts w:eastAsia="仿宋_GB2312"/>
          <w:color w:val="000000" w:themeColor="text1"/>
          <w:kern w:val="2"/>
          <w:sz w:val="32"/>
          <w:szCs w:val="32"/>
          <w14:textFill>
            <w14:solidFill>
              <w14:schemeClr w14:val="tx1"/>
            </w14:solidFill>
          </w14:textFill>
        </w:rPr>
        <w:t>万元，全年预算</w:t>
      </w:r>
      <w:r>
        <w:rPr>
          <w:rFonts w:hint="eastAsia" w:eastAsia="仿宋_GB2312"/>
          <w:color w:val="000000" w:themeColor="text1"/>
          <w:kern w:val="2"/>
          <w:sz w:val="32"/>
          <w:szCs w:val="32"/>
          <w14:textFill>
            <w14:solidFill>
              <w14:schemeClr w14:val="tx1"/>
            </w14:solidFill>
          </w14:textFill>
        </w:rPr>
        <w:t>58.42</w:t>
      </w:r>
      <w:r>
        <w:rPr>
          <w:rFonts w:eastAsia="仿宋_GB2312"/>
          <w:color w:val="000000" w:themeColor="text1"/>
          <w:kern w:val="2"/>
          <w:sz w:val="32"/>
          <w:szCs w:val="32"/>
          <w14:textFill>
            <w14:solidFill>
              <w14:schemeClr w14:val="tx1"/>
            </w14:solidFill>
          </w14:textFill>
        </w:rPr>
        <w:t>万元，实际支出</w:t>
      </w:r>
      <w:r>
        <w:rPr>
          <w:rFonts w:hint="eastAsia" w:eastAsia="仿宋_GB2312"/>
          <w:color w:val="000000" w:themeColor="text1"/>
          <w:kern w:val="2"/>
          <w:sz w:val="32"/>
          <w:szCs w:val="32"/>
          <w14:textFill>
            <w14:solidFill>
              <w14:schemeClr w14:val="tx1"/>
            </w14:solidFill>
          </w14:textFill>
        </w:rPr>
        <w:t>58.42</w:t>
      </w:r>
      <w:r>
        <w:rPr>
          <w:rFonts w:eastAsia="仿宋_GB2312"/>
          <w:color w:val="000000" w:themeColor="text1"/>
          <w:kern w:val="2"/>
          <w:sz w:val="32"/>
          <w:szCs w:val="32"/>
          <w14:textFill>
            <w14:solidFill>
              <w14:schemeClr w14:val="tx1"/>
            </w14:solidFill>
          </w14:textFill>
        </w:rPr>
        <w:t>万元，预算执行率为</w:t>
      </w:r>
      <w:r>
        <w:rPr>
          <w:rFonts w:hint="eastAsia" w:eastAsia="仿宋_GB2312"/>
          <w:color w:val="000000" w:themeColor="text1"/>
          <w:kern w:val="2"/>
          <w:sz w:val="32"/>
          <w:szCs w:val="32"/>
          <w14:textFill>
            <w14:solidFill>
              <w14:schemeClr w14:val="tx1"/>
            </w14:solidFill>
          </w14:textFill>
        </w:rPr>
        <w:t>100</w:t>
      </w:r>
      <w:r>
        <w:rPr>
          <w:rFonts w:eastAsia="仿宋_GB2312"/>
          <w:color w:val="000000" w:themeColor="text1"/>
          <w:kern w:val="2"/>
          <w:sz w:val="32"/>
          <w:szCs w:val="32"/>
          <w14:textFill>
            <w14:solidFill>
              <w14:schemeClr w14:val="tx1"/>
            </w14:solidFill>
          </w14:textFill>
        </w:rPr>
        <w:t>%，项目绩效指标总体完成率为</w:t>
      </w:r>
      <w:r>
        <w:rPr>
          <w:rFonts w:hint="eastAsia" w:eastAsia="仿宋_GB2312"/>
          <w:color w:val="000000" w:themeColor="text1"/>
          <w:kern w:val="2"/>
          <w:sz w:val="32"/>
          <w:szCs w:val="32"/>
          <w14:textFill>
            <w14:solidFill>
              <w14:schemeClr w14:val="tx1"/>
            </w14:solidFill>
          </w14:textFill>
        </w:rPr>
        <w:t>100</w:t>
      </w:r>
      <w:r>
        <w:rPr>
          <w:rFonts w:eastAsia="仿宋_GB2312"/>
          <w:color w:val="000000" w:themeColor="text1"/>
          <w:kern w:val="2"/>
          <w:sz w:val="32"/>
          <w:szCs w:val="32"/>
          <w14:textFill>
            <w14:solidFill>
              <w14:schemeClr w14:val="tx1"/>
            </w14:solidFill>
          </w14:textFill>
        </w:rPr>
        <w:t>%，总体偏差率为</w:t>
      </w:r>
      <w:r>
        <w:rPr>
          <w:rFonts w:hint="eastAsia" w:eastAsia="仿宋_GB2312"/>
          <w:color w:val="000000" w:themeColor="text1"/>
          <w:kern w:val="2"/>
          <w:sz w:val="32"/>
          <w:szCs w:val="32"/>
          <w14:textFill>
            <w14:solidFill>
              <w14:schemeClr w14:val="tx1"/>
            </w14:solidFill>
          </w14:textFill>
        </w:rPr>
        <w:t>0</w:t>
      </w:r>
      <w:r>
        <w:rPr>
          <w:rFonts w:eastAsia="仿宋_GB2312"/>
          <w:color w:val="000000" w:themeColor="text1"/>
          <w:kern w:val="2"/>
          <w:sz w:val="32"/>
          <w:szCs w:val="32"/>
          <w14:textFill>
            <w14:solidFill>
              <w14:schemeClr w14:val="tx1"/>
            </w14:solidFill>
          </w14:textFill>
        </w:rPr>
        <w:t>%</w:t>
      </w:r>
      <w:r>
        <w:rPr>
          <w:rFonts w:hint="eastAsia" w:eastAsia="仿宋_GB2312"/>
          <w:color w:val="000000" w:themeColor="text1"/>
          <w:kern w:val="2"/>
          <w:sz w:val="32"/>
          <w:szCs w:val="32"/>
          <w14:textFill>
            <w14:solidFill>
              <w14:schemeClr w14:val="tx1"/>
            </w14:solidFill>
          </w14:textFill>
        </w:rPr>
        <w:t>。</w:t>
      </w:r>
    </w:p>
    <w:p w14:paraId="1773B96E">
      <w:pPr>
        <w:spacing w:line="560" w:lineRule="exact"/>
        <w:ind w:firstLine="640" w:firstLineChars="200"/>
        <w:rPr>
          <w:rStyle w:val="20"/>
          <w:rFonts w:ascii="Times New Roman" w:hAnsi="Times New Roman" w:cs="Times New Roman"/>
          <w:color w:val="000000" w:themeColor="text1"/>
          <w14:textFill>
            <w14:solidFill>
              <w14:schemeClr w14:val="tx1"/>
            </w14:solidFill>
          </w14:textFill>
        </w:rPr>
      </w:pPr>
      <w:r>
        <w:rPr>
          <w:rFonts w:hint="eastAsia" w:eastAsia="黑体"/>
          <w:color w:val="000000" w:themeColor="text1"/>
          <w:sz w:val="32"/>
          <w:szCs w:val="32"/>
          <w14:textFill>
            <w14:solidFill>
              <w14:schemeClr w14:val="tx1"/>
            </w14:solidFill>
          </w14:textFill>
        </w:rPr>
        <w:t>五、</w:t>
      </w:r>
      <w:r>
        <w:rPr>
          <w:rFonts w:eastAsia="黑体"/>
          <w:color w:val="000000" w:themeColor="text1"/>
          <w:sz w:val="32"/>
          <w:szCs w:val="32"/>
          <w14:textFill>
            <w14:solidFill>
              <w14:schemeClr w14:val="tx1"/>
            </w14:solidFill>
          </w14:textFill>
        </w:rPr>
        <w:t>主要经验及做法、存在的问题及原因分析</w:t>
      </w:r>
    </w:p>
    <w:p w14:paraId="5D4B5F3F">
      <w:pPr>
        <w:spacing w:line="560" w:lineRule="exact"/>
        <w:ind w:firstLine="627" w:firstLineChars="200"/>
        <w:rPr>
          <w:rFonts w:eastAsia="楷体"/>
          <w:b/>
          <w:color w:val="000000" w:themeColor="text1"/>
          <w:spacing w:val="-4"/>
          <w:sz w:val="32"/>
          <w:szCs w:val="32"/>
          <w14:textFill>
            <w14:solidFill>
              <w14:schemeClr w14:val="tx1"/>
            </w14:solidFill>
          </w14:textFill>
        </w:rPr>
      </w:pPr>
      <w:r>
        <w:rPr>
          <w:rFonts w:eastAsia="楷体"/>
          <w:b/>
          <w:color w:val="000000" w:themeColor="text1"/>
          <w:spacing w:val="-4"/>
          <w:sz w:val="32"/>
          <w:szCs w:val="32"/>
          <w14:textFill>
            <w14:solidFill>
              <w14:schemeClr w14:val="tx1"/>
            </w14:solidFill>
          </w14:textFill>
        </w:rPr>
        <w:t>（一）主要经验及做法</w:t>
      </w:r>
    </w:p>
    <w:p w14:paraId="36EEF716">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8484691">
      <w:pPr>
        <w:pStyle w:val="9"/>
        <w:spacing w:before="0" w:after="0" w:line="560" w:lineRule="exact"/>
        <w:ind w:firstLine="640" w:firstLineChars="200"/>
        <w:jc w:val="left"/>
        <w:rPr>
          <w:rFonts w:ascii="Times New Roman" w:hAnsi="Times New Roman" w:eastAsia="仿宋_GB2312"/>
          <w:b w:val="0"/>
          <w:bCs w:val="0"/>
          <w:color w:val="000000" w:themeColor="text1"/>
          <w:kern w:val="2"/>
          <w14:textFill>
            <w14:solidFill>
              <w14:schemeClr w14:val="tx1"/>
            </w14:solidFill>
          </w14:textFill>
        </w:rPr>
      </w:pPr>
      <w:r>
        <w:rPr>
          <w:rFonts w:ascii="Times New Roman" w:hAnsi="Times New Roman" w:eastAsia="仿宋_GB2312"/>
          <w:b w:val="0"/>
          <w:bCs w:val="0"/>
          <w:color w:val="000000" w:themeColor="text1"/>
          <w:kern w:val="2"/>
          <w14:textFill>
            <w14:solidFill>
              <w14:schemeClr w14:val="tx1"/>
            </w14:solidFill>
          </w14:textFill>
        </w:rPr>
        <w:t>严格坚持先做事、后验收、再拨付的原则，</w:t>
      </w:r>
      <w:r>
        <w:rPr>
          <w:rFonts w:hint="eastAsia" w:ascii="Times New Roman" w:hAnsi="Times New Roman" w:eastAsia="仿宋_GB2312"/>
          <w:b w:val="0"/>
          <w:bCs w:val="0"/>
          <w:color w:val="000000" w:themeColor="text1"/>
          <w:kern w:val="2"/>
          <w14:textFill>
            <w14:solidFill>
              <w14:schemeClr w14:val="tx1"/>
            </w14:solidFill>
          </w14:textFill>
        </w:rPr>
        <w:t>杜绝</w:t>
      </w:r>
      <w:r>
        <w:rPr>
          <w:rFonts w:ascii="Times New Roman" w:hAnsi="Times New Roman" w:eastAsia="仿宋_GB2312"/>
          <w:b w:val="0"/>
          <w:bCs w:val="0"/>
          <w:color w:val="000000" w:themeColor="text1"/>
          <w:kern w:val="2"/>
          <w14:textFill>
            <w14:solidFill>
              <w14:schemeClr w14:val="tx1"/>
            </w14:solidFill>
          </w14:textFill>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606D794">
      <w:pPr>
        <w:keepNext/>
        <w:keepLines/>
        <w:numPr>
          <w:ilvl w:val="0"/>
          <w:numId w:val="5"/>
        </w:numPr>
        <w:spacing w:line="600" w:lineRule="exact"/>
        <w:ind w:firstLine="643" w:firstLineChars="200"/>
        <w:outlineLvl w:val="0"/>
        <w:rPr>
          <w:rFonts w:eastAsia="仿宋_GB2312"/>
          <w:color w:val="000000" w:themeColor="text1"/>
          <w:sz w:val="32"/>
          <w:szCs w:val="32"/>
          <w14:textFill>
            <w14:solidFill>
              <w14:schemeClr w14:val="tx1"/>
            </w14:solidFill>
          </w14:textFill>
        </w:rPr>
      </w:pPr>
      <w:r>
        <w:rPr>
          <w:rFonts w:eastAsia="楷体_GB2312"/>
          <w:b/>
          <w:bCs/>
          <w:color w:val="000000" w:themeColor="text1"/>
          <w:sz w:val="32"/>
          <w:szCs w:val="32"/>
          <w14:textFill>
            <w14:solidFill>
              <w14:schemeClr w14:val="tx1"/>
            </w14:solidFill>
          </w14:textFill>
        </w:rPr>
        <w:t>存在的问题及原因分析</w:t>
      </w:r>
      <w:r>
        <w:rPr>
          <w:rFonts w:eastAsia="仿宋_GB2312"/>
          <w:color w:val="000000"/>
          <w:sz w:val="32"/>
          <w:szCs w:val="32"/>
        </w:rPr>
        <w:t>1.相关绩效管理方面专业知识的系统性学习有待加强。各项指标的设置要进一步优化、完善，主要在细化、量化上改进。在绩效自评过程中，由</w:t>
      </w:r>
      <w:r>
        <w:rPr>
          <w:rFonts w:eastAsia="仿宋_GB2312"/>
          <w:color w:val="000000" w:themeColor="text1"/>
          <w:sz w:val="32"/>
          <w:szCs w:val="32"/>
          <w14:textFill>
            <w14:solidFill>
              <w14:schemeClr w14:val="tx1"/>
            </w14:solidFill>
          </w14:textFill>
        </w:rPr>
        <w:t>干部</w:t>
      </w:r>
      <w:r>
        <w:rPr>
          <w:rFonts w:eastAsia="仿宋_GB2312"/>
          <w:color w:val="000000"/>
          <w:sz w:val="32"/>
          <w:szCs w:val="32"/>
        </w:rPr>
        <w:t>分人员缺乏相关绩效管理专业知识，自评价工作还存在自我审定的局限性，影响评价质量。</w:t>
      </w:r>
    </w:p>
    <w:p w14:paraId="24F7F6CE">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2.因轮岗、调动</w:t>
      </w:r>
      <w:r>
        <w:rPr>
          <w:rFonts w:hint="eastAsia" w:eastAsia="仿宋_GB2312"/>
          <w:color w:val="000000" w:themeColor="text1"/>
          <w:sz w:val="32"/>
          <w:szCs w:val="32"/>
          <w14:textFill>
            <w14:solidFill>
              <w14:schemeClr w14:val="tx1"/>
            </w14:solidFill>
          </w14:textFill>
        </w:rPr>
        <w:t>等</w:t>
      </w:r>
      <w:r>
        <w:rPr>
          <w:rFonts w:eastAsia="仿宋_GB2312"/>
          <w:color w:val="000000" w:themeColor="text1"/>
          <w:sz w:val="32"/>
          <w:szCs w:val="32"/>
          <w14:textFill>
            <w14:solidFill>
              <w14:schemeClr w14:val="tx1"/>
            </w14:solidFill>
          </w14:textFill>
        </w:rPr>
        <w:t>因素使我单位绩效工作人员流动频繁，</w:t>
      </w:r>
      <w:r>
        <w:rPr>
          <w:rFonts w:hint="eastAsia" w:eastAsia="仿宋_GB2312"/>
          <w:color w:val="000000" w:themeColor="text1"/>
          <w:sz w:val="32"/>
          <w:szCs w:val="32"/>
          <w14:textFill>
            <w14:solidFill>
              <w14:schemeClr w14:val="tx1"/>
            </w14:solidFill>
          </w14:textFill>
        </w:rPr>
        <w:t>造成</w:t>
      </w:r>
      <w:r>
        <w:rPr>
          <w:rFonts w:eastAsia="仿宋_GB2312"/>
          <w:color w:val="000000" w:themeColor="text1"/>
          <w:sz w:val="32"/>
          <w:szCs w:val="32"/>
          <w14:textFill>
            <w14:solidFill>
              <w14:schemeClr w14:val="tx1"/>
            </w14:solidFill>
          </w14:textFill>
        </w:rPr>
        <w:t>工作衔接不到位的情况。</w:t>
      </w:r>
    </w:p>
    <w:p w14:paraId="5331BF51">
      <w:pPr>
        <w:spacing w:line="560" w:lineRule="exact"/>
        <w:ind w:firstLine="640" w:firstLineChars="200"/>
        <w:rPr>
          <w:rFonts w:eastAsia="黑体"/>
          <w:color w:val="000000" w:themeColor="text1"/>
          <w:sz w:val="32"/>
          <w:szCs w:val="32"/>
          <w14:textFill>
            <w14:solidFill>
              <w14:schemeClr w14:val="tx1"/>
            </w14:solidFill>
          </w14:textFill>
        </w:rPr>
      </w:pPr>
      <w:r>
        <w:rPr>
          <w:rFonts w:hint="eastAsia" w:eastAsia="黑体"/>
          <w:color w:val="000000" w:themeColor="text1"/>
          <w:sz w:val="32"/>
          <w:szCs w:val="32"/>
          <w14:textFill>
            <w14:solidFill>
              <w14:schemeClr w14:val="tx1"/>
            </w14:solidFill>
          </w14:textFill>
        </w:rPr>
        <w:t>六、</w:t>
      </w:r>
      <w:r>
        <w:rPr>
          <w:rFonts w:eastAsia="黑体"/>
          <w:color w:val="000000" w:themeColor="text1"/>
          <w:sz w:val="32"/>
          <w:szCs w:val="32"/>
          <w14:textFill>
            <w14:solidFill>
              <w14:schemeClr w14:val="tx1"/>
            </w14:solidFill>
          </w14:textFill>
        </w:rPr>
        <w:t>有关建议</w:t>
      </w:r>
    </w:p>
    <w:p w14:paraId="119A3940">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1.多进行有关绩效管理工作方面的培训。积极组织第三方开展绩效管理工作培训，进一步夯实业务基础，提高我单位绩效人员水平。</w:t>
      </w:r>
    </w:p>
    <w:p w14:paraId="40EFB86B">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2.专门设定对绩效工作人员定职、定岗、定责等相关制度措施，进一步提升我单位绩效管理工作业务水平，扎实做好绩效管理工作。</w:t>
      </w:r>
    </w:p>
    <w:p w14:paraId="507C5287">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85CC152">
      <w:pPr>
        <w:spacing w:line="600" w:lineRule="exact"/>
        <w:ind w:firstLine="640" w:firstLineChars="200"/>
        <w:outlineLvl w:val="0"/>
        <w:rPr>
          <w:color w:val="000000" w:themeColor="text1"/>
          <w:sz w:val="22"/>
          <w:szCs w:val="28"/>
          <w14:textFill>
            <w14:solidFill>
              <w14:schemeClr w14:val="tx1"/>
            </w14:solidFill>
          </w14:textFill>
        </w:rPr>
      </w:pPr>
      <w:r>
        <w:rPr>
          <w:rFonts w:eastAsia="仿宋_GB2312"/>
          <w:color w:val="000000" w:themeColor="text1"/>
          <w:sz w:val="32"/>
          <w:szCs w:val="32"/>
          <w14:textFill>
            <w14:solidFill>
              <w14:schemeClr w14:val="tx1"/>
            </w14:solidFill>
          </w14:textFill>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color w:val="000000" w:themeColor="text1"/>
          <w:sz w:val="36"/>
          <w:szCs w:val="32"/>
          <w14:textFill>
            <w14:solidFill>
              <w14:schemeClr w14:val="tx1"/>
            </w14:solidFill>
          </w14:textFill>
        </w:rPr>
        <w:t>。</w:t>
      </w:r>
    </w:p>
    <w:p w14:paraId="63FB343A">
      <w:pPr>
        <w:spacing w:line="600" w:lineRule="exact"/>
        <w:ind w:firstLine="640" w:firstLineChars="200"/>
        <w:outlineLvl w:val="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037AB1A">
      <w:pPr>
        <w:spacing w:line="560" w:lineRule="exact"/>
        <w:ind w:firstLine="640" w:firstLineChars="200"/>
        <w:rPr>
          <w:rFonts w:eastAsia="黑体"/>
          <w:color w:val="000000" w:themeColor="text1"/>
          <w:sz w:val="32"/>
          <w:szCs w:val="32"/>
          <w14:textFill>
            <w14:solidFill>
              <w14:schemeClr w14:val="tx1"/>
            </w14:solidFill>
          </w14:textFill>
        </w:rPr>
      </w:pPr>
      <w:r>
        <w:rPr>
          <w:rFonts w:hint="eastAsia" w:eastAsia="黑体"/>
          <w:color w:val="000000" w:themeColor="text1"/>
          <w:sz w:val="32"/>
          <w:szCs w:val="32"/>
          <w14:textFill>
            <w14:solidFill>
              <w14:schemeClr w14:val="tx1"/>
            </w14:solidFill>
          </w14:textFill>
        </w:rPr>
        <w:t>七、</w:t>
      </w:r>
      <w:r>
        <w:rPr>
          <w:rFonts w:eastAsia="黑体"/>
          <w:color w:val="000000" w:themeColor="text1"/>
          <w:sz w:val="32"/>
          <w:szCs w:val="32"/>
          <w14:textFill>
            <w14:solidFill>
              <w14:schemeClr w14:val="tx1"/>
            </w14:solidFill>
          </w14:textFill>
        </w:rPr>
        <w:t>其他需要说</w:t>
      </w:r>
      <w:bookmarkStart w:id="0" w:name="page8"/>
      <w:bookmarkEnd w:id="0"/>
      <w:r>
        <w:rPr>
          <w:rFonts w:eastAsia="黑体"/>
          <w:color w:val="000000" w:themeColor="text1"/>
          <w:sz w:val="32"/>
          <w:szCs w:val="32"/>
          <w14:textFill>
            <w14:solidFill>
              <w14:schemeClr w14:val="tx1"/>
            </w14:solidFill>
          </w14:textFill>
        </w:rPr>
        <w:t>明的问题</w:t>
      </w:r>
    </w:p>
    <w:p w14:paraId="2EC77CE5">
      <w:pPr>
        <w:pStyle w:val="11"/>
        <w:spacing w:after="0" w:line="560" w:lineRule="exact"/>
        <w:ind w:left="0" w:leftChars="0" w:firstLine="64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本项目无其他需说明的问题。</w:t>
      </w:r>
    </w:p>
    <w:p w14:paraId="074B8046">
      <w:pPr>
        <w:spacing w:line="600" w:lineRule="exact"/>
        <w:rPr>
          <w:rFonts w:eastAsia="黑体"/>
          <w:color w:val="000000" w:themeColor="text1"/>
          <w:sz w:val="32"/>
          <w:szCs w:val="32"/>
          <w14:textFill>
            <w14:solidFill>
              <w14:schemeClr w14:val="tx1"/>
            </w14:solidFill>
          </w14:textFill>
        </w:rPr>
        <w:sectPr>
          <w:footerReference r:id="rId3" w:type="default"/>
          <w:pgSz w:w="11906" w:h="16838"/>
          <w:pgMar w:top="1440" w:right="1558" w:bottom="1440" w:left="1800" w:header="851" w:footer="992" w:gutter="0"/>
          <w:pgNumType w:start="1"/>
          <w:cols w:space="425" w:num="1"/>
          <w:docGrid w:type="lines" w:linePitch="312" w:charSpace="0"/>
        </w:sectPr>
      </w:pPr>
    </w:p>
    <w:p w14:paraId="52A2A89B">
      <w:pPr>
        <w:rPr>
          <w:color w:val="000000" w:themeColor="text1"/>
          <w14:textFill>
            <w14:solidFill>
              <w14:schemeClr w14:val="tx1"/>
            </w14:solidFill>
          </w14:textFill>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1B9980-7245-4903-8035-32008CDED5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roman"/>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B530687-1F4E-4FD0-8D94-31E2DA7E716A}"/>
  </w:font>
  <w:font w:name="华文中宋">
    <w:panose1 w:val="02010600040101010101"/>
    <w:charset w:val="86"/>
    <w:family w:val="auto"/>
    <w:pitch w:val="default"/>
    <w:sig w:usb0="00000287" w:usb1="080F0000" w:usb2="00000000" w:usb3="00000000" w:csb0="0004009F" w:csb1="DFD70000"/>
    <w:embedRegular r:id="rId3" w:fontKey="{B9718E53-1BCF-4D62-A771-C1C4756F6955}"/>
  </w:font>
  <w:font w:name="方正小标宋_GBK">
    <w:panose1 w:val="02000000000000000000"/>
    <w:charset w:val="86"/>
    <w:family w:val="script"/>
    <w:pitch w:val="default"/>
    <w:sig w:usb0="A00002BF" w:usb1="38CF7CFA" w:usb2="00082016" w:usb3="00000000" w:csb0="00040001" w:csb1="00000000"/>
    <w:embedRegular r:id="rId4" w:fontKey="{B8882497-FF5A-4E0D-8D32-A2DD53440FF1}"/>
  </w:font>
  <w:font w:name="楷体_GB2312">
    <w:panose1 w:val="02010609030101010101"/>
    <w:charset w:val="86"/>
    <w:family w:val="modern"/>
    <w:pitch w:val="default"/>
    <w:sig w:usb0="00000001" w:usb1="080E0000" w:usb2="00000000" w:usb3="00000000" w:csb0="00040000" w:csb1="00000000"/>
    <w:embedRegular r:id="rId5" w:fontKey="{BBD6E23D-3C14-4F99-B1C2-65B032EC801B}"/>
  </w:font>
  <w:font w:name="方正仿宋_GBK">
    <w:panose1 w:val="02000000000000000000"/>
    <w:charset w:val="86"/>
    <w:family w:val="auto"/>
    <w:pitch w:val="default"/>
    <w:sig w:usb0="A00002BF" w:usb1="38CF7CFA" w:usb2="00082016" w:usb3="00000000" w:csb0="00040001" w:csb1="00000000"/>
    <w:embedRegular r:id="rId6" w:fontKey="{6EE4120B-8A10-488E-AB31-9D406388D518}"/>
  </w:font>
  <w:font w:name="楷体">
    <w:panose1 w:val="02010609060101010101"/>
    <w:charset w:val="86"/>
    <w:family w:val="modern"/>
    <w:pitch w:val="default"/>
    <w:sig w:usb0="800002BF" w:usb1="38CF7CFA" w:usb2="00000016" w:usb3="00000000" w:csb0="00040001" w:csb1="00000000"/>
    <w:embedRegular r:id="rId7" w:fontKey="{1268F289-D533-4CA7-9139-6567A0D439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4BC2D56">
        <w:pPr>
          <w:pStyle w:val="6"/>
          <w:jc w:val="center"/>
        </w:pPr>
        <w:r>
          <w:fldChar w:fldCharType="begin"/>
        </w:r>
        <w:r>
          <w:instrText xml:space="preserve">PAGE   \* MERGEFORMAT</w:instrText>
        </w:r>
        <w:r>
          <w:fldChar w:fldCharType="separate"/>
        </w:r>
        <w:r>
          <w:rPr>
            <w:lang w:val="zh-CN"/>
          </w:rPr>
          <w:t>15</w:t>
        </w:r>
        <w:r>
          <w:rPr>
            <w:lang w:val="zh-CN"/>
          </w:rPr>
          <w:fldChar w:fldCharType="end"/>
        </w:r>
      </w:p>
    </w:sdtContent>
  </w:sdt>
  <w:p w14:paraId="5F9AE64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embedSystem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5492274A"/>
    <w:rsid w:val="77F14D2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2"/>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character" w:styleId="16">
    <w:name w:val="Hyperlink"/>
    <w:basedOn w:val="14"/>
    <w:qFormat/>
    <w:uiPriority w:val="0"/>
    <w:rPr>
      <w:color w:val="0000FF"/>
      <w:u w:val="single"/>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4"/>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link w:val="26"/>
    <w:qFormat/>
    <w:uiPriority w:val="3"/>
    <w:pPr>
      <w:spacing w:line="500" w:lineRule="exact"/>
      <w:ind w:firstLine="200"/>
    </w:pPr>
    <w:rPr>
      <w:kern w:val="0"/>
      <w:szCs w:val="28"/>
    </w:rPr>
  </w:style>
  <w:style w:type="character" w:customStyle="1" w:styleId="22">
    <w:name w:val="批注框文本 Char"/>
    <w:basedOn w:val="14"/>
    <w:link w:val="5"/>
    <w:qFormat/>
    <w:uiPriority w:val="0"/>
    <w:rPr>
      <w:rFonts w:ascii="Times New Roman" w:hAnsi="Times New Roman" w:eastAsia="宋体" w:cs="Times New Roman"/>
      <w:kern w:val="2"/>
      <w:sz w:val="18"/>
      <w:szCs w:val="18"/>
    </w:rPr>
  </w:style>
  <w:style w:type="character" w:customStyle="1" w:styleId="23">
    <w:name w:val="页眉 Char"/>
    <w:basedOn w:val="14"/>
    <w:link w:val="7"/>
    <w:qFormat/>
    <w:uiPriority w:val="0"/>
    <w:rPr>
      <w:rFonts w:ascii="Times New Roman" w:hAnsi="Times New Roman" w:eastAsia="宋体" w:cs="Times New Roman"/>
      <w:kern w:val="2"/>
      <w:sz w:val="18"/>
      <w:szCs w:val="18"/>
    </w:rPr>
  </w:style>
  <w:style w:type="character" w:customStyle="1" w:styleId="24">
    <w:name w:val="批注文字 Char"/>
    <w:basedOn w:val="14"/>
    <w:link w:val="17"/>
    <w:qFormat/>
    <w:uiPriority w:val="0"/>
    <w:rPr>
      <w:rFonts w:ascii="Times New Roman" w:hAnsi="Times New Roman" w:eastAsia="宋体" w:cs="Times New Roman"/>
      <w:kern w:val="2"/>
      <w:sz w:val="21"/>
      <w:szCs w:val="24"/>
    </w:rPr>
  </w:style>
  <w:style w:type="character" w:customStyle="1" w:styleId="25">
    <w:name w:val="批注主题 Char"/>
    <w:basedOn w:val="24"/>
    <w:link w:val="18"/>
    <w:qFormat/>
    <w:uiPriority w:val="0"/>
    <w:rPr>
      <w:rFonts w:ascii="Times New Roman" w:hAnsi="Times New Roman" w:eastAsia="宋体" w:cs="Times New Roman"/>
      <w:b/>
      <w:bCs/>
      <w:kern w:val="2"/>
      <w:sz w:val="21"/>
      <w:szCs w:val="24"/>
    </w:rPr>
  </w:style>
  <w:style w:type="character" w:customStyle="1" w:styleId="26">
    <w:name w:val="闻政-正文段落文字 Char"/>
    <w:link w:val="21"/>
    <w:qFormat/>
    <w:uiPriority w:val="3"/>
    <w:rPr>
      <w:sz w:val="21"/>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eyJoZGlkIjoiN2E3N2ExYzQ4Y2ZkM2M3YzkyYWJlNmM3ZmI1MTU5NzYiLCJ1c2VySWQiOiIxMTI0OTc0MjY4In0=</vt:lpwstr>
  </property>
</Properties>
</file>

<file path=customXml/itemProps1.xml><?xml version="1.0" encoding="utf-8"?>
<ds:datastoreItem xmlns:ds="http://schemas.openxmlformats.org/officeDocument/2006/customXml" ds:itemID="{0b2980ad-9c13-4571-920c-db2fd50143b8}">
  <ds:schemaRefs/>
</ds:datastoreItem>
</file>

<file path=docProps/app.xml><?xml version="1.0" encoding="utf-8"?>
<Properties xmlns="http://schemas.openxmlformats.org/officeDocument/2006/extended-properties" xmlns:vt="http://schemas.openxmlformats.org/officeDocument/2006/docPropsVTypes">
  <Template>Normal.dotm</Template>
  <Pages>22</Pages>
  <Words>9426</Words>
  <Characters>9779</Characters>
  <Lines>99</Lines>
  <Paragraphs>28</Paragraphs>
  <TotalTime>46</TotalTime>
  <ScaleCrop>false</ScaleCrop>
  <LinksUpToDate>false</LinksUpToDate>
  <CharactersWithSpaces>9803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2025-04-30T02:13:00Z</dcterms:created>
  <dc:creator>审核人</dc:creator>
  <cp:lastModifiedBy>白羊</cp:lastModifiedBy>
  <cp:lastPrinted>2025-05-09T03:52:00Z</cp:lastPrinted>
  <dcterms:modified xsi:type="dcterms:W3CDTF">2025-11-07T08:21:56Z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A075C2AEC1C54D1693797747003CB0A9_13</vt:lpwstr>
  </property>
  <property fmtid="{D5CDD505-2E9C-101B-9397-08002B2CF9AE}" pid="4" name="KSOTemplateDocerSaveRecord">
    <vt:lpwstr>eyJoZGlkIjoiYjM4NWYyMWE2NWU1OGNiMmIxMmZkYzA5MWEwNzJlZmIiLCJ1c2VySWQiOiI0MzE2NzY3NzkifQ==</vt:lpwstr>
  </property>
</Properties>
</file>